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8B" w:rsidRPr="00F3506A" w:rsidRDefault="007D3F4F" w:rsidP="007D3F4F">
      <w:pPr>
        <w:pStyle w:val="NoSpacing"/>
        <w:pBdr>
          <w:bottom w:val="single" w:sz="4" w:space="1" w:color="auto"/>
        </w:pBdr>
        <w:jc w:val="right"/>
        <w:rPr>
          <w:b/>
          <w:sz w:val="28"/>
          <w:szCs w:val="28"/>
        </w:rPr>
      </w:pPr>
      <w:bookmarkStart w:id="0" w:name="_GoBack"/>
      <w:bookmarkEnd w:id="0"/>
      <w:r w:rsidRPr="007D3F4F">
        <w:rPr>
          <w:b/>
          <w:sz w:val="28"/>
          <w:szCs w:val="28"/>
        </w:rPr>
        <w:t xml:space="preserve">2018-19 Provisional Local Government </w:t>
      </w:r>
      <w:r w:rsidRPr="00F3506A">
        <w:rPr>
          <w:b/>
          <w:sz w:val="28"/>
          <w:szCs w:val="28"/>
        </w:rPr>
        <w:t xml:space="preserve">Finance Settlement </w:t>
      </w:r>
    </w:p>
    <w:p w:rsidR="007D3F4F" w:rsidRPr="007D3F4F" w:rsidRDefault="007D3F4F" w:rsidP="007D3F4F">
      <w:pPr>
        <w:pStyle w:val="NoSpacing"/>
        <w:pBdr>
          <w:bottom w:val="single" w:sz="4" w:space="1" w:color="auto"/>
        </w:pBdr>
        <w:jc w:val="right"/>
        <w:rPr>
          <w:i/>
          <w:sz w:val="24"/>
          <w:szCs w:val="24"/>
        </w:rPr>
      </w:pPr>
      <w:r w:rsidRPr="00F3506A">
        <w:rPr>
          <w:i/>
          <w:sz w:val="24"/>
          <w:szCs w:val="24"/>
        </w:rPr>
        <w:t>1</w:t>
      </w:r>
      <w:r w:rsidR="00DA15D6" w:rsidRPr="00F3506A">
        <w:rPr>
          <w:i/>
          <w:sz w:val="24"/>
          <w:szCs w:val="24"/>
        </w:rPr>
        <w:t>9</w:t>
      </w:r>
      <w:r w:rsidRPr="00F3506A">
        <w:rPr>
          <w:i/>
          <w:sz w:val="24"/>
          <w:szCs w:val="24"/>
        </w:rPr>
        <w:t xml:space="preserve"> December</w:t>
      </w:r>
      <w:r w:rsidRPr="007D3F4F">
        <w:rPr>
          <w:i/>
          <w:sz w:val="24"/>
          <w:szCs w:val="24"/>
        </w:rPr>
        <w:t xml:space="preserve"> 2017</w:t>
      </w:r>
    </w:p>
    <w:p w:rsidR="007D3F4F" w:rsidRDefault="007D3F4F" w:rsidP="007D3F4F">
      <w:pPr>
        <w:pStyle w:val="NoSpacing"/>
        <w:rPr>
          <w:sz w:val="24"/>
          <w:szCs w:val="24"/>
        </w:rPr>
      </w:pPr>
    </w:p>
    <w:p w:rsidR="00066949" w:rsidRPr="004C479E" w:rsidRDefault="00066949" w:rsidP="00066949">
      <w:pPr>
        <w:jc w:val="both"/>
        <w:rPr>
          <w:rFonts w:ascii="Calibri" w:hAnsi="Calibri" w:cs="Arial"/>
          <w:b/>
        </w:rPr>
      </w:pPr>
      <w:r w:rsidRPr="004C479E">
        <w:rPr>
          <w:rFonts w:ascii="Calibri" w:hAnsi="Calibri" w:cs="Arial"/>
          <w:b/>
        </w:rPr>
        <w:t>INTRODUCTION</w:t>
      </w:r>
    </w:p>
    <w:p w:rsidR="00066949" w:rsidRPr="004C569B" w:rsidRDefault="00066949" w:rsidP="00066949">
      <w:pPr>
        <w:jc w:val="both"/>
        <w:rPr>
          <w:rFonts w:ascii="Calibri" w:hAnsi="Calibri" w:cs="Arial"/>
        </w:rPr>
      </w:pPr>
      <w:r w:rsidRPr="004C479E">
        <w:rPr>
          <w:rFonts w:ascii="Calibri" w:hAnsi="Calibri" w:cs="Arial"/>
        </w:rPr>
        <w:t xml:space="preserve">The provisional local government finance </w:t>
      </w:r>
      <w:r w:rsidRPr="00D8722E">
        <w:rPr>
          <w:rFonts w:ascii="Calibri" w:hAnsi="Calibri" w:cs="Arial"/>
        </w:rPr>
        <w:t xml:space="preserve">settlement was announced by the Secretary of State </w:t>
      </w:r>
      <w:r w:rsidRPr="00F3506A">
        <w:rPr>
          <w:rFonts w:ascii="Calibri" w:hAnsi="Calibri" w:cs="Arial"/>
        </w:rPr>
        <w:t xml:space="preserve">Communities and Local Government, Sajid Javid MP, in an </w:t>
      </w:r>
      <w:hyperlink r:id="rId8" w:history="1">
        <w:r w:rsidRPr="00152EBD">
          <w:rPr>
            <w:rStyle w:val="Hyperlink"/>
            <w:rFonts w:ascii="Calibri" w:hAnsi="Calibri" w:cs="Arial"/>
          </w:rPr>
          <w:t>oral statement</w:t>
        </w:r>
      </w:hyperlink>
      <w:r w:rsidRPr="00F3506A">
        <w:rPr>
          <w:rFonts w:ascii="Calibri" w:hAnsi="Calibri" w:cs="Arial"/>
        </w:rPr>
        <w:t xml:space="preserve"> to the House of Commons on T</w:t>
      </w:r>
      <w:r w:rsidR="00DA15D6" w:rsidRPr="00F3506A">
        <w:rPr>
          <w:rFonts w:ascii="Calibri" w:hAnsi="Calibri" w:cs="Arial"/>
        </w:rPr>
        <w:t xml:space="preserve">uesday 19 </w:t>
      </w:r>
      <w:r w:rsidRPr="00F3506A">
        <w:rPr>
          <w:rFonts w:ascii="Calibri" w:hAnsi="Calibri" w:cs="Arial"/>
        </w:rPr>
        <w:t>December</w:t>
      </w:r>
      <w:r w:rsidRPr="00D8722E">
        <w:rPr>
          <w:rFonts w:ascii="Calibri" w:hAnsi="Calibri" w:cs="Arial"/>
        </w:rPr>
        <w:t xml:space="preserve">. Full details of the settlement can be found on the Department for Communities and Local </w:t>
      </w:r>
      <w:r w:rsidRPr="00016498">
        <w:rPr>
          <w:rFonts w:ascii="Calibri" w:hAnsi="Calibri" w:cs="Arial"/>
        </w:rPr>
        <w:t xml:space="preserve">Government (DCLG) </w:t>
      </w:r>
      <w:hyperlink r:id="rId9" w:history="1">
        <w:r w:rsidRPr="00016498">
          <w:rPr>
            <w:rStyle w:val="Hyperlink"/>
            <w:rFonts w:ascii="Calibri" w:hAnsi="Calibri" w:cs="Arial"/>
          </w:rPr>
          <w:t>pages</w:t>
        </w:r>
      </w:hyperlink>
      <w:r w:rsidRPr="00016498">
        <w:rPr>
          <w:rFonts w:ascii="Calibri" w:hAnsi="Calibri" w:cs="Arial"/>
        </w:rPr>
        <w:t xml:space="preserve"> o</w:t>
      </w:r>
      <w:r w:rsidR="00633D67">
        <w:rPr>
          <w:rFonts w:ascii="Calibri" w:hAnsi="Calibri" w:cs="Arial"/>
        </w:rPr>
        <w:t>n</w:t>
      </w:r>
      <w:r w:rsidRPr="00016498">
        <w:rPr>
          <w:rFonts w:ascii="Calibri" w:hAnsi="Calibri" w:cs="Arial"/>
        </w:rPr>
        <w:t xml:space="preserve"> the</w:t>
      </w:r>
      <w:r w:rsidRPr="00D8722E">
        <w:rPr>
          <w:rFonts w:ascii="Calibri" w:hAnsi="Calibri" w:cs="Arial"/>
        </w:rPr>
        <w:t xml:space="preserve"> GOV.UK website. </w:t>
      </w:r>
      <w:r w:rsidRPr="00016498">
        <w:rPr>
          <w:rFonts w:ascii="Calibri" w:hAnsi="Calibri" w:cs="Arial"/>
        </w:rPr>
        <w:t xml:space="preserve">A summary of the main announcements was published in a </w:t>
      </w:r>
      <w:hyperlink r:id="rId10" w:history="1">
        <w:r w:rsidRPr="00016498">
          <w:rPr>
            <w:rStyle w:val="Hyperlink"/>
            <w:rFonts w:ascii="Calibri" w:hAnsi="Calibri" w:cs="Arial"/>
          </w:rPr>
          <w:t>press release</w:t>
        </w:r>
      </w:hyperlink>
      <w:r w:rsidRPr="00016498">
        <w:rPr>
          <w:rFonts w:ascii="Calibri" w:hAnsi="Calibri" w:cs="Arial"/>
        </w:rPr>
        <w:t xml:space="preserve"> by DCLG. The announcement set out provisional allocations for 201</w:t>
      </w:r>
      <w:r w:rsidR="00E656B7" w:rsidRPr="00016498">
        <w:rPr>
          <w:rFonts w:ascii="Calibri" w:hAnsi="Calibri" w:cs="Arial"/>
        </w:rPr>
        <w:t>8</w:t>
      </w:r>
      <w:r w:rsidRPr="00016498">
        <w:rPr>
          <w:rFonts w:ascii="Calibri" w:hAnsi="Calibri" w:cs="Arial"/>
        </w:rPr>
        <w:t>-1</w:t>
      </w:r>
      <w:r w:rsidR="00E656B7" w:rsidRPr="00016498">
        <w:rPr>
          <w:rFonts w:ascii="Calibri" w:hAnsi="Calibri" w:cs="Arial"/>
        </w:rPr>
        <w:t>9</w:t>
      </w:r>
      <w:r w:rsidRPr="00016498">
        <w:rPr>
          <w:rFonts w:ascii="Calibri" w:hAnsi="Calibri" w:cs="Arial"/>
        </w:rPr>
        <w:t>. These were originally announced</w:t>
      </w:r>
      <w:r w:rsidRPr="00D8722E">
        <w:rPr>
          <w:rFonts w:ascii="Calibri" w:hAnsi="Calibri" w:cs="Arial"/>
        </w:rPr>
        <w:t xml:space="preserve"> </w:t>
      </w:r>
      <w:r w:rsidRPr="00DA15D6">
        <w:rPr>
          <w:rFonts w:ascii="Calibri" w:hAnsi="Calibri" w:cs="Arial"/>
        </w:rPr>
        <w:t>in December 2015</w:t>
      </w:r>
      <w:r w:rsidRPr="00D8722E">
        <w:rPr>
          <w:rFonts w:ascii="Calibri" w:hAnsi="Calibri" w:cs="Arial"/>
        </w:rPr>
        <w:t xml:space="preserve"> as part of </w:t>
      </w:r>
      <w:r w:rsidRPr="004C569B">
        <w:rPr>
          <w:rFonts w:ascii="Calibri" w:hAnsi="Calibri" w:cs="Arial"/>
        </w:rPr>
        <w:t xml:space="preserve">the </w:t>
      </w:r>
      <w:r w:rsidR="00E656B7" w:rsidRPr="004C569B">
        <w:rPr>
          <w:rFonts w:ascii="Calibri" w:hAnsi="Calibri" w:cs="Arial"/>
        </w:rPr>
        <w:t xml:space="preserve">multi-year </w:t>
      </w:r>
      <w:r w:rsidR="00241AED" w:rsidRPr="004C569B">
        <w:rPr>
          <w:rFonts w:ascii="Calibri" w:hAnsi="Calibri" w:cs="Arial"/>
        </w:rPr>
        <w:t>settlement offer</w:t>
      </w:r>
      <w:r w:rsidR="00E656B7" w:rsidRPr="004C569B">
        <w:rPr>
          <w:rFonts w:ascii="Calibri" w:hAnsi="Calibri" w:cs="Arial"/>
        </w:rPr>
        <w:t>, accepted by 97% of local authorities.</w:t>
      </w:r>
    </w:p>
    <w:p w:rsidR="00066949" w:rsidRPr="004C569B" w:rsidRDefault="00066949" w:rsidP="00066949">
      <w:pPr>
        <w:jc w:val="both"/>
        <w:rPr>
          <w:rFonts w:ascii="Calibri" w:hAnsi="Calibri" w:cs="Arial"/>
        </w:rPr>
      </w:pPr>
    </w:p>
    <w:p w:rsidR="00066949" w:rsidRPr="007D4D34" w:rsidRDefault="00066949" w:rsidP="00066949">
      <w:pPr>
        <w:jc w:val="both"/>
        <w:rPr>
          <w:rFonts w:ascii="Calibri" w:hAnsi="Calibri" w:cs="Arial"/>
        </w:rPr>
      </w:pPr>
      <w:r w:rsidRPr="004C569B">
        <w:rPr>
          <w:rFonts w:ascii="Calibri" w:hAnsi="Calibri" w:cs="Arial"/>
        </w:rPr>
        <w:t xml:space="preserve">The publication of the </w:t>
      </w:r>
      <w:hyperlink r:id="rId11" w:history="1">
        <w:r w:rsidR="00A47228" w:rsidRPr="004C569B">
          <w:rPr>
            <w:rStyle w:val="Hyperlink"/>
            <w:rFonts w:ascii="Calibri" w:hAnsi="Calibri" w:cs="Arial"/>
          </w:rPr>
          <w:t>Draft 2018-19</w:t>
        </w:r>
        <w:r w:rsidRPr="004C569B">
          <w:rPr>
            <w:rStyle w:val="Hyperlink"/>
            <w:rFonts w:ascii="Calibri" w:hAnsi="Calibri" w:cs="Arial"/>
          </w:rPr>
          <w:t xml:space="preserve"> Local Government Finance Report</w:t>
        </w:r>
      </w:hyperlink>
      <w:r w:rsidRPr="004C569B">
        <w:rPr>
          <w:rFonts w:ascii="Calibri" w:hAnsi="Calibri" w:cs="Arial"/>
        </w:rPr>
        <w:t xml:space="preserve"> marks the start of the </w:t>
      </w:r>
      <w:hyperlink r:id="rId12" w:history="1">
        <w:r w:rsidRPr="004C569B">
          <w:rPr>
            <w:rStyle w:val="Hyperlink"/>
            <w:rFonts w:ascii="Calibri" w:hAnsi="Calibri" w:cs="Arial"/>
          </w:rPr>
          <w:t>consultation</w:t>
        </w:r>
      </w:hyperlink>
      <w:r w:rsidRPr="004C569B">
        <w:rPr>
          <w:rFonts w:ascii="Calibri" w:hAnsi="Calibri" w:cs="Arial"/>
        </w:rPr>
        <w:t xml:space="preserve"> spanning the Christmas period and ending with the </w:t>
      </w:r>
      <w:r w:rsidRPr="00016498">
        <w:rPr>
          <w:rFonts w:ascii="Calibri" w:hAnsi="Calibri" w:cs="Arial"/>
          <w:b/>
        </w:rPr>
        <w:t xml:space="preserve">deadline for submissions on </w:t>
      </w:r>
      <w:r w:rsidR="00BB5403" w:rsidRPr="00016498">
        <w:rPr>
          <w:rFonts w:ascii="Calibri" w:hAnsi="Calibri" w:cs="Arial"/>
          <w:b/>
        </w:rPr>
        <w:t>16</w:t>
      </w:r>
      <w:r w:rsidRPr="00016498">
        <w:rPr>
          <w:rFonts w:ascii="Calibri" w:hAnsi="Calibri" w:cs="Arial"/>
          <w:b/>
        </w:rPr>
        <w:t xml:space="preserve"> Janua</w:t>
      </w:r>
      <w:r w:rsidR="00E46FBB" w:rsidRPr="00016498">
        <w:rPr>
          <w:rFonts w:ascii="Calibri" w:hAnsi="Calibri" w:cs="Arial"/>
          <w:b/>
        </w:rPr>
        <w:t>ry 2018</w:t>
      </w:r>
      <w:r w:rsidRPr="004C569B">
        <w:rPr>
          <w:rFonts w:ascii="Calibri" w:hAnsi="Calibri" w:cs="Arial"/>
        </w:rPr>
        <w:t>. As in previous years, the Technical Support Team will distribute a draft response as soon as possible</w:t>
      </w:r>
      <w:r w:rsidRPr="00E46FBB">
        <w:rPr>
          <w:rFonts w:ascii="Calibri" w:hAnsi="Calibri" w:cs="Arial"/>
        </w:rPr>
        <w:t xml:space="preserve"> to members for comment and to help support individual member authority submissions.</w:t>
      </w:r>
      <w:r w:rsidRPr="007D4D34">
        <w:rPr>
          <w:rFonts w:ascii="Calibri" w:hAnsi="Calibri" w:cs="Arial"/>
        </w:rPr>
        <w:t xml:space="preserve"> </w:t>
      </w:r>
    </w:p>
    <w:p w:rsidR="00066949" w:rsidRPr="004C479E" w:rsidRDefault="00066949" w:rsidP="00066949">
      <w:pPr>
        <w:jc w:val="both"/>
        <w:rPr>
          <w:rFonts w:ascii="Calibri" w:hAnsi="Calibri" w:cs="Arial"/>
        </w:rPr>
      </w:pPr>
    </w:p>
    <w:p w:rsidR="00066949" w:rsidRPr="004C479E" w:rsidRDefault="00066949" w:rsidP="00066949">
      <w:pPr>
        <w:jc w:val="both"/>
        <w:rPr>
          <w:rFonts w:ascii="Calibri" w:hAnsi="Calibri" w:cs="Arial"/>
        </w:rPr>
      </w:pPr>
      <w:r w:rsidRPr="004C479E">
        <w:rPr>
          <w:rFonts w:ascii="Calibri" w:hAnsi="Calibri" w:cs="Arial"/>
        </w:rPr>
        <w:t xml:space="preserve">This briefing provides a summary and analysis of the day’s main announcements for members. </w:t>
      </w:r>
    </w:p>
    <w:p w:rsidR="00066949" w:rsidRPr="004C479E" w:rsidRDefault="00066949" w:rsidP="00066949">
      <w:pPr>
        <w:jc w:val="both"/>
        <w:rPr>
          <w:rFonts w:ascii="Calibri" w:hAnsi="Calibri" w:cs="Arial"/>
        </w:rPr>
      </w:pPr>
    </w:p>
    <w:p w:rsidR="00066949" w:rsidRPr="00E46FBB" w:rsidRDefault="00066949" w:rsidP="00066949">
      <w:pPr>
        <w:jc w:val="both"/>
        <w:rPr>
          <w:rFonts w:ascii="Calibri" w:hAnsi="Calibri" w:cs="Arial"/>
          <w:b/>
        </w:rPr>
      </w:pPr>
      <w:r w:rsidRPr="00E46FBB">
        <w:rPr>
          <w:rFonts w:ascii="Calibri" w:hAnsi="Calibri" w:cs="Arial"/>
          <w:b/>
        </w:rPr>
        <w:t>Headlines</w:t>
      </w:r>
    </w:p>
    <w:p w:rsidR="00066949" w:rsidRPr="00E46FBB" w:rsidRDefault="00066949" w:rsidP="00066949">
      <w:pPr>
        <w:jc w:val="both"/>
        <w:rPr>
          <w:rFonts w:ascii="Calibri" w:hAnsi="Calibri" w:cs="Arial"/>
        </w:rPr>
      </w:pPr>
    </w:p>
    <w:p w:rsidR="0013745B" w:rsidRPr="008A14A5" w:rsidRDefault="0013745B" w:rsidP="0013745B">
      <w:pPr>
        <w:pStyle w:val="ListParagraph"/>
        <w:numPr>
          <w:ilvl w:val="0"/>
          <w:numId w:val="1"/>
        </w:numPr>
        <w:rPr>
          <w:rFonts w:eastAsia="Times New Roman" w:cs="Arial"/>
          <w:sz w:val="24"/>
          <w:szCs w:val="24"/>
        </w:rPr>
      </w:pPr>
      <w:r w:rsidRPr="008A14A5">
        <w:rPr>
          <w:rFonts w:eastAsia="Times New Roman" w:cs="Arial"/>
          <w:sz w:val="24"/>
          <w:szCs w:val="24"/>
        </w:rPr>
        <w:t>Increased council tax referendum principle from 2% to 3%</w:t>
      </w:r>
      <w:r w:rsidR="00EE5AF8" w:rsidRPr="008A14A5">
        <w:rPr>
          <w:rFonts w:eastAsia="Times New Roman" w:cs="Arial"/>
          <w:sz w:val="24"/>
          <w:szCs w:val="24"/>
        </w:rPr>
        <w:t xml:space="preserve"> for 2018-19 </w:t>
      </w:r>
      <w:r w:rsidR="00EE5AF8" w:rsidRPr="008A14A5">
        <w:rPr>
          <w:rFonts w:eastAsia="Times New Roman" w:cs="Arial"/>
          <w:i/>
          <w:sz w:val="24"/>
          <w:szCs w:val="24"/>
        </w:rPr>
        <w:t>and</w:t>
      </w:r>
      <w:r w:rsidR="00EE5AF8" w:rsidRPr="008A14A5">
        <w:rPr>
          <w:rFonts w:eastAsia="Times New Roman" w:cs="Arial"/>
          <w:sz w:val="24"/>
          <w:szCs w:val="24"/>
        </w:rPr>
        <w:t xml:space="preserve"> 2019-20</w:t>
      </w:r>
      <w:r w:rsidRPr="008A14A5">
        <w:rPr>
          <w:rFonts w:eastAsia="Times New Roman" w:cs="Arial"/>
          <w:sz w:val="24"/>
          <w:szCs w:val="24"/>
        </w:rPr>
        <w:t>, with the maximum £5 increase maintained for district councils.</w:t>
      </w:r>
    </w:p>
    <w:p w:rsidR="00066949" w:rsidRPr="00E46FBB" w:rsidRDefault="00066949" w:rsidP="00066949">
      <w:pPr>
        <w:pStyle w:val="ListParagraph"/>
        <w:rPr>
          <w:rFonts w:cs="Arial"/>
        </w:rPr>
      </w:pPr>
    </w:p>
    <w:p w:rsidR="00066949" w:rsidRPr="008A14A5" w:rsidRDefault="00066949" w:rsidP="00066949">
      <w:pPr>
        <w:numPr>
          <w:ilvl w:val="0"/>
          <w:numId w:val="1"/>
        </w:numPr>
        <w:jc w:val="both"/>
        <w:rPr>
          <w:rFonts w:ascii="Calibri" w:hAnsi="Calibri" w:cs="Arial"/>
        </w:rPr>
      </w:pPr>
      <w:r w:rsidRPr="008A14A5">
        <w:rPr>
          <w:rFonts w:ascii="Calibri" w:hAnsi="Calibri" w:cs="Arial"/>
        </w:rPr>
        <w:t xml:space="preserve">Confirmation of </w:t>
      </w:r>
      <w:r w:rsidR="00E46FBB" w:rsidRPr="008A14A5">
        <w:rPr>
          <w:rFonts w:ascii="Calibri" w:hAnsi="Calibri" w:cs="Arial"/>
        </w:rPr>
        <w:t>the continuation of the ASC precept including the a</w:t>
      </w:r>
      <w:r w:rsidRPr="008A14A5">
        <w:rPr>
          <w:rFonts w:ascii="Calibri" w:hAnsi="Calibri" w:cs="Arial"/>
        </w:rPr>
        <w:t xml:space="preserve">dditional </w:t>
      </w:r>
      <w:r w:rsidR="00E46FBB" w:rsidRPr="008A14A5">
        <w:rPr>
          <w:rFonts w:ascii="Calibri" w:hAnsi="Calibri" w:cs="Arial"/>
        </w:rPr>
        <w:t xml:space="preserve">flexibility </w:t>
      </w:r>
      <w:r w:rsidRPr="008A14A5">
        <w:rPr>
          <w:rFonts w:ascii="Calibri" w:hAnsi="Calibri" w:cs="Arial"/>
        </w:rPr>
        <w:t xml:space="preserve">to raise the </w:t>
      </w:r>
      <w:r w:rsidR="00091EDD" w:rsidRPr="008A14A5">
        <w:rPr>
          <w:rFonts w:ascii="Calibri" w:hAnsi="Calibri" w:cs="Arial"/>
        </w:rPr>
        <w:t xml:space="preserve">precept to 3% </w:t>
      </w:r>
      <w:r w:rsidR="00E46FBB" w:rsidRPr="008A14A5">
        <w:rPr>
          <w:rFonts w:ascii="Calibri" w:hAnsi="Calibri" w:cs="Arial"/>
        </w:rPr>
        <w:t xml:space="preserve">this year </w:t>
      </w:r>
      <w:r w:rsidRPr="008A14A5">
        <w:rPr>
          <w:rFonts w:ascii="Calibri" w:hAnsi="Calibri" w:cs="Arial"/>
        </w:rPr>
        <w:t>but</w:t>
      </w:r>
      <w:r w:rsidR="00E46FBB" w:rsidRPr="008A14A5">
        <w:rPr>
          <w:rFonts w:ascii="Calibri" w:hAnsi="Calibri" w:cs="Arial"/>
        </w:rPr>
        <w:t xml:space="preserve"> by</w:t>
      </w:r>
      <w:r w:rsidRPr="008A14A5">
        <w:rPr>
          <w:rFonts w:ascii="Calibri" w:hAnsi="Calibri" w:cs="Arial"/>
        </w:rPr>
        <w:t xml:space="preserve"> </w:t>
      </w:r>
      <w:r w:rsidRPr="008A14A5">
        <w:rPr>
          <w:rFonts w:ascii="Calibri" w:hAnsi="Calibri" w:cs="Arial"/>
          <w:b/>
        </w:rPr>
        <w:t xml:space="preserve">no more than 6% over the </w:t>
      </w:r>
      <w:r w:rsidR="00E46FBB" w:rsidRPr="008A14A5">
        <w:rPr>
          <w:rFonts w:ascii="Calibri" w:hAnsi="Calibri" w:cs="Arial"/>
          <w:b/>
        </w:rPr>
        <w:t>17-18 to 19-20 period.</w:t>
      </w:r>
    </w:p>
    <w:p w:rsidR="0013745B" w:rsidRDefault="0013745B" w:rsidP="0013745B">
      <w:pPr>
        <w:pStyle w:val="ListParagraph"/>
        <w:rPr>
          <w:rFonts w:cs="Arial"/>
        </w:rPr>
      </w:pPr>
    </w:p>
    <w:p w:rsidR="0013745B" w:rsidRPr="00A667D4" w:rsidRDefault="0013745B" w:rsidP="0013745B">
      <w:pPr>
        <w:numPr>
          <w:ilvl w:val="0"/>
          <w:numId w:val="1"/>
        </w:numPr>
        <w:jc w:val="both"/>
        <w:rPr>
          <w:rFonts w:ascii="Calibri" w:hAnsi="Calibri" w:cs="Arial"/>
        </w:rPr>
      </w:pPr>
      <w:r w:rsidRPr="0013745B">
        <w:rPr>
          <w:rFonts w:ascii="Calibri" w:hAnsi="Calibri" w:cs="Arial"/>
        </w:rPr>
        <w:t xml:space="preserve">Announcement of the Government’s “aim” to </w:t>
      </w:r>
      <w:r w:rsidRPr="0013745B">
        <w:rPr>
          <w:rFonts w:ascii="Calibri" w:hAnsi="Calibri" w:cs="Arial"/>
          <w:b/>
        </w:rPr>
        <w:t>localise 75% of business rates</w:t>
      </w:r>
      <w:r w:rsidRPr="0013745B">
        <w:rPr>
          <w:rFonts w:ascii="Calibri" w:hAnsi="Calibri" w:cs="Arial"/>
        </w:rPr>
        <w:t xml:space="preserve"> from 2020-21 and implementation of the </w:t>
      </w:r>
      <w:r w:rsidRPr="0013745B">
        <w:rPr>
          <w:rFonts w:ascii="Calibri" w:hAnsi="Calibri" w:cs="Arial"/>
          <w:b/>
        </w:rPr>
        <w:t>new needs assessment</w:t>
      </w:r>
      <w:r w:rsidR="008C466D">
        <w:rPr>
          <w:rFonts w:ascii="Calibri" w:hAnsi="Calibri" w:cs="Arial"/>
          <w:b/>
        </w:rPr>
        <w:t>.</w:t>
      </w:r>
    </w:p>
    <w:p w:rsidR="0013745B" w:rsidRPr="0013745B" w:rsidRDefault="0013745B" w:rsidP="0013745B">
      <w:pPr>
        <w:ind w:left="720"/>
        <w:jc w:val="both"/>
        <w:rPr>
          <w:rFonts w:cs="Arial"/>
        </w:rPr>
      </w:pPr>
    </w:p>
    <w:p w:rsidR="008C466D" w:rsidRDefault="0013745B" w:rsidP="008C466D">
      <w:pPr>
        <w:numPr>
          <w:ilvl w:val="0"/>
          <w:numId w:val="1"/>
        </w:numPr>
        <w:jc w:val="both"/>
        <w:rPr>
          <w:rFonts w:cs="Arial"/>
        </w:rPr>
      </w:pPr>
      <w:r w:rsidRPr="00321D68">
        <w:rPr>
          <w:rFonts w:ascii="Calibri" w:hAnsi="Calibri" w:cs="Arial"/>
          <w:b/>
        </w:rPr>
        <w:t>Consultation</w:t>
      </w:r>
      <w:r w:rsidRPr="00A667D4">
        <w:rPr>
          <w:rFonts w:ascii="Calibri" w:hAnsi="Calibri" w:cs="Arial"/>
        </w:rPr>
        <w:t xml:space="preserve"> in the </w:t>
      </w:r>
      <w:proofErr w:type="gramStart"/>
      <w:r w:rsidRPr="00A667D4">
        <w:rPr>
          <w:rFonts w:ascii="Calibri" w:hAnsi="Calibri" w:cs="Arial"/>
        </w:rPr>
        <w:t>Spring</w:t>
      </w:r>
      <w:proofErr w:type="gramEnd"/>
      <w:r w:rsidRPr="00A667D4">
        <w:rPr>
          <w:rFonts w:ascii="Calibri" w:hAnsi="Calibri" w:cs="Arial"/>
        </w:rPr>
        <w:t xml:space="preserve"> on “fair and affordable options” </w:t>
      </w:r>
      <w:r w:rsidRPr="00321D68">
        <w:rPr>
          <w:rFonts w:ascii="Calibri" w:hAnsi="Calibri" w:cs="Arial"/>
          <w:b/>
        </w:rPr>
        <w:t>to tackle</w:t>
      </w:r>
      <w:r w:rsidRPr="00A667D4">
        <w:rPr>
          <w:rFonts w:ascii="Calibri" w:hAnsi="Calibri" w:cs="Arial"/>
        </w:rPr>
        <w:t xml:space="preserve"> </w:t>
      </w:r>
      <w:r w:rsidRPr="00A667D4">
        <w:rPr>
          <w:rFonts w:ascii="Calibri" w:hAnsi="Calibri" w:cs="Arial"/>
          <w:b/>
        </w:rPr>
        <w:t>negative RSG</w:t>
      </w:r>
      <w:r w:rsidRPr="00A667D4">
        <w:rPr>
          <w:rFonts w:ascii="Calibri" w:hAnsi="Calibri" w:cs="Arial"/>
        </w:rPr>
        <w:t xml:space="preserve"> in 2019-20.</w:t>
      </w:r>
    </w:p>
    <w:p w:rsidR="008C466D" w:rsidRDefault="008C466D" w:rsidP="008C466D">
      <w:pPr>
        <w:pStyle w:val="ListParagraph"/>
      </w:pPr>
    </w:p>
    <w:p w:rsidR="008C466D" w:rsidRPr="008C466D" w:rsidRDefault="008C466D" w:rsidP="008C466D">
      <w:pPr>
        <w:numPr>
          <w:ilvl w:val="0"/>
          <w:numId w:val="1"/>
        </w:numPr>
        <w:jc w:val="both"/>
        <w:rPr>
          <w:rFonts w:ascii="Calibri" w:hAnsi="Calibri" w:cs="Arial"/>
        </w:rPr>
      </w:pPr>
      <w:r w:rsidRPr="008C466D">
        <w:rPr>
          <w:rFonts w:ascii="Calibri" w:hAnsi="Calibri" w:cs="Arial"/>
        </w:rPr>
        <w:t xml:space="preserve">In addition to those already announced; </w:t>
      </w:r>
      <w:r w:rsidRPr="008C466D">
        <w:rPr>
          <w:rFonts w:ascii="Calibri" w:hAnsi="Calibri" w:cs="Arial"/>
          <w:b/>
        </w:rPr>
        <w:t xml:space="preserve">ten </w:t>
      </w:r>
      <w:r w:rsidR="00C43110">
        <w:rPr>
          <w:rFonts w:ascii="Calibri" w:hAnsi="Calibri" w:cs="Arial"/>
          <w:b/>
        </w:rPr>
        <w:t xml:space="preserve">100% business rates retention </w:t>
      </w:r>
      <w:r w:rsidRPr="008C466D">
        <w:rPr>
          <w:rFonts w:ascii="Calibri" w:hAnsi="Calibri" w:cs="Arial"/>
          <w:b/>
        </w:rPr>
        <w:t>pilot</w:t>
      </w:r>
      <w:r>
        <w:rPr>
          <w:rFonts w:ascii="Calibri" w:hAnsi="Calibri" w:cs="Arial"/>
          <w:b/>
        </w:rPr>
        <w:t>s</w:t>
      </w:r>
      <w:r w:rsidRPr="008C466D">
        <w:rPr>
          <w:rFonts w:ascii="Calibri" w:hAnsi="Calibri" w:cs="Arial"/>
        </w:rPr>
        <w:t xml:space="preserve"> have been accepted for 2018-19, </w:t>
      </w:r>
      <w:r w:rsidRPr="008C466D">
        <w:rPr>
          <w:rFonts w:ascii="Calibri" w:hAnsi="Calibri" w:cs="Arial"/>
          <w:b/>
        </w:rPr>
        <w:t>eight of which were made by SCT members</w:t>
      </w:r>
      <w:r w:rsidRPr="008C466D">
        <w:rPr>
          <w:rFonts w:ascii="Calibri" w:hAnsi="Calibri" w:cs="Arial"/>
        </w:rPr>
        <w:t xml:space="preserve">. </w:t>
      </w:r>
    </w:p>
    <w:p w:rsidR="0013745B" w:rsidRDefault="0013745B" w:rsidP="0013745B">
      <w:pPr>
        <w:pStyle w:val="ListParagraph"/>
        <w:rPr>
          <w:rFonts w:cs="Arial"/>
          <w:highlight w:val="yellow"/>
        </w:rPr>
      </w:pPr>
    </w:p>
    <w:p w:rsidR="0013745B" w:rsidRPr="00A667D4" w:rsidRDefault="0013745B" w:rsidP="0013745B">
      <w:pPr>
        <w:numPr>
          <w:ilvl w:val="0"/>
          <w:numId w:val="1"/>
        </w:numPr>
        <w:jc w:val="both"/>
        <w:rPr>
          <w:rFonts w:ascii="Calibri" w:hAnsi="Calibri" w:cs="Arial"/>
        </w:rPr>
      </w:pPr>
      <w:r w:rsidRPr="00A667D4">
        <w:rPr>
          <w:rFonts w:ascii="Calibri" w:hAnsi="Calibri" w:cs="Arial"/>
          <w:b/>
        </w:rPr>
        <w:t>No Transition Grant.</w:t>
      </w:r>
      <w:r w:rsidRPr="00A667D4">
        <w:rPr>
          <w:rFonts w:ascii="Calibri" w:hAnsi="Calibri" w:cs="Arial"/>
        </w:rPr>
        <w:t xml:space="preserve"> </w:t>
      </w:r>
    </w:p>
    <w:p w:rsidR="0013745B" w:rsidRPr="0009274D" w:rsidRDefault="0013745B" w:rsidP="0013745B">
      <w:pPr>
        <w:pStyle w:val="ListParagraph"/>
        <w:rPr>
          <w:rFonts w:cs="Arial"/>
        </w:rPr>
      </w:pPr>
    </w:p>
    <w:p w:rsidR="00066949" w:rsidRPr="0009274D" w:rsidRDefault="00066949" w:rsidP="00066949">
      <w:pPr>
        <w:numPr>
          <w:ilvl w:val="0"/>
          <w:numId w:val="1"/>
        </w:numPr>
        <w:jc w:val="both"/>
        <w:rPr>
          <w:rFonts w:ascii="Calibri" w:hAnsi="Calibri" w:cs="Arial"/>
        </w:rPr>
      </w:pPr>
      <w:r w:rsidRPr="0009274D">
        <w:rPr>
          <w:rFonts w:ascii="Calibri" w:hAnsi="Calibri" w:cs="Arial"/>
        </w:rPr>
        <w:t>A</w:t>
      </w:r>
      <w:r w:rsidR="00CF28F5" w:rsidRPr="0009274D">
        <w:rPr>
          <w:rFonts w:ascii="Calibri" w:hAnsi="Calibri" w:cs="Arial"/>
        </w:rPr>
        <w:t xml:space="preserve"> </w:t>
      </w:r>
      <w:r w:rsidR="00CF28F5" w:rsidRPr="0009274D">
        <w:rPr>
          <w:rFonts w:ascii="Calibri" w:hAnsi="Calibri" w:cs="Arial"/>
          <w:b/>
        </w:rPr>
        <w:t>national</w:t>
      </w:r>
      <w:r w:rsidR="0009274D" w:rsidRPr="0009274D">
        <w:rPr>
          <w:rFonts w:ascii="Calibri" w:hAnsi="Calibri" w:cs="Arial"/>
          <w:b/>
        </w:rPr>
        <w:t xml:space="preserve"> increase</w:t>
      </w:r>
      <w:r w:rsidR="00CF28F5" w:rsidRPr="0009274D">
        <w:rPr>
          <w:rFonts w:ascii="Calibri" w:hAnsi="Calibri" w:cs="Arial"/>
          <w:b/>
        </w:rPr>
        <w:t xml:space="preserve"> </w:t>
      </w:r>
      <w:r w:rsidR="00E46FBB" w:rsidRPr="0009274D">
        <w:rPr>
          <w:rFonts w:ascii="Calibri" w:hAnsi="Calibri" w:cs="Arial"/>
          <w:b/>
        </w:rPr>
        <w:t>in the 2018-19</w:t>
      </w:r>
      <w:r w:rsidRPr="0009274D">
        <w:rPr>
          <w:rFonts w:ascii="Calibri" w:hAnsi="Calibri" w:cs="Arial"/>
          <w:b/>
        </w:rPr>
        <w:t xml:space="preserve"> core spending power of </w:t>
      </w:r>
      <w:r w:rsidR="000354CB" w:rsidRPr="0009274D">
        <w:rPr>
          <w:rFonts w:ascii="Calibri" w:hAnsi="Calibri" w:cs="Arial"/>
          <w:b/>
        </w:rPr>
        <w:t>1.5</w:t>
      </w:r>
      <w:r w:rsidRPr="0009274D">
        <w:rPr>
          <w:rFonts w:ascii="Calibri" w:hAnsi="Calibri" w:cs="Arial"/>
          <w:b/>
        </w:rPr>
        <w:t>%</w:t>
      </w:r>
      <w:r w:rsidRPr="0009274D">
        <w:rPr>
          <w:rFonts w:ascii="Calibri" w:hAnsi="Calibri" w:cs="Arial"/>
        </w:rPr>
        <w:t xml:space="preserve"> compared </w:t>
      </w:r>
      <w:r w:rsidR="00E46FBB" w:rsidRPr="0009274D">
        <w:rPr>
          <w:rFonts w:ascii="Calibri" w:hAnsi="Calibri" w:cs="Arial"/>
        </w:rPr>
        <w:t>to 2017-18</w:t>
      </w:r>
      <w:r w:rsidRPr="0009274D">
        <w:rPr>
          <w:rFonts w:ascii="Calibri" w:hAnsi="Calibri" w:cs="Arial"/>
        </w:rPr>
        <w:t xml:space="preserve">. </w:t>
      </w:r>
      <w:r w:rsidR="00CF28F5" w:rsidRPr="0009274D">
        <w:rPr>
          <w:rFonts w:ascii="Calibri" w:hAnsi="Calibri" w:cs="Arial"/>
          <w:b/>
        </w:rPr>
        <w:t xml:space="preserve">SCT members see an average </w:t>
      </w:r>
      <w:r w:rsidR="0009274D" w:rsidRPr="0009274D">
        <w:rPr>
          <w:rFonts w:ascii="Calibri" w:hAnsi="Calibri" w:cs="Arial"/>
          <w:b/>
        </w:rPr>
        <w:t>increase</w:t>
      </w:r>
      <w:r w:rsidR="00CF28F5" w:rsidRPr="0009274D">
        <w:rPr>
          <w:rFonts w:ascii="Calibri" w:hAnsi="Calibri" w:cs="Arial"/>
          <w:b/>
        </w:rPr>
        <w:t xml:space="preserve"> of </w:t>
      </w:r>
      <w:r w:rsidR="000354CB" w:rsidRPr="0009274D">
        <w:rPr>
          <w:rFonts w:ascii="Calibri" w:hAnsi="Calibri" w:cs="Arial"/>
          <w:b/>
        </w:rPr>
        <w:t>2.</w:t>
      </w:r>
      <w:r w:rsidR="0009274D" w:rsidRPr="0009274D">
        <w:rPr>
          <w:rFonts w:ascii="Calibri" w:hAnsi="Calibri" w:cs="Arial"/>
          <w:b/>
        </w:rPr>
        <w:t>2</w:t>
      </w:r>
      <w:r w:rsidR="00CF28F5" w:rsidRPr="0009274D">
        <w:rPr>
          <w:rFonts w:ascii="Calibri" w:hAnsi="Calibri" w:cs="Arial"/>
          <w:b/>
        </w:rPr>
        <w:t>%.</w:t>
      </w:r>
      <w:r w:rsidR="00CF28F5" w:rsidRPr="0009274D">
        <w:rPr>
          <w:rFonts w:ascii="Calibri" w:hAnsi="Calibri" w:cs="Arial"/>
        </w:rPr>
        <w:t xml:space="preserve"> </w:t>
      </w:r>
    </w:p>
    <w:p w:rsidR="0009274D" w:rsidRPr="0009274D" w:rsidRDefault="0009274D" w:rsidP="0009274D">
      <w:pPr>
        <w:ind w:left="720"/>
        <w:jc w:val="both"/>
        <w:rPr>
          <w:rFonts w:ascii="Calibri" w:hAnsi="Calibri" w:cs="Arial"/>
        </w:rPr>
      </w:pPr>
      <w:r w:rsidRPr="0009274D">
        <w:rPr>
          <w:rFonts w:ascii="Calibri" w:eastAsia="Calibri" w:hAnsi="Calibri" w:cs="Arial"/>
          <w:sz w:val="22"/>
          <w:szCs w:val="22"/>
        </w:rPr>
        <w:t>CAVEAT: this does not include the effects of pilot auth</w:t>
      </w:r>
      <w:r>
        <w:rPr>
          <w:rFonts w:ascii="Calibri" w:eastAsia="Calibri" w:hAnsi="Calibri" w:cs="Arial"/>
          <w:sz w:val="22"/>
          <w:szCs w:val="22"/>
        </w:rPr>
        <w:t>orities forgoing their RSG and R</w:t>
      </w:r>
      <w:r w:rsidRPr="0009274D">
        <w:rPr>
          <w:rFonts w:ascii="Calibri" w:eastAsia="Calibri" w:hAnsi="Calibri" w:cs="Arial"/>
          <w:sz w:val="22"/>
          <w:szCs w:val="22"/>
        </w:rPr>
        <w:t>SDG allocations. The TST will do further work on this in the coming days</w:t>
      </w:r>
    </w:p>
    <w:p w:rsidR="00066949" w:rsidRPr="00E46FBB" w:rsidRDefault="00066949" w:rsidP="00066949">
      <w:pPr>
        <w:ind w:left="720"/>
        <w:jc w:val="both"/>
        <w:rPr>
          <w:rFonts w:ascii="Calibri" w:hAnsi="Calibri" w:cs="Arial"/>
        </w:rPr>
      </w:pPr>
    </w:p>
    <w:p w:rsidR="00066949" w:rsidRDefault="00924487" w:rsidP="00066949">
      <w:pPr>
        <w:numPr>
          <w:ilvl w:val="0"/>
          <w:numId w:val="1"/>
        </w:numPr>
        <w:jc w:val="both"/>
        <w:rPr>
          <w:rFonts w:ascii="Calibri" w:hAnsi="Calibri" w:cs="Arial"/>
        </w:rPr>
      </w:pPr>
      <w:r w:rsidRPr="00924487">
        <w:rPr>
          <w:rFonts w:ascii="Calibri" w:hAnsi="Calibri" w:cs="Arial"/>
          <w:b/>
        </w:rPr>
        <w:lastRenderedPageBreak/>
        <w:t>RSG no longer a comparable measure of funding</w:t>
      </w:r>
      <w:r>
        <w:rPr>
          <w:rFonts w:ascii="Calibri" w:hAnsi="Calibri" w:cs="Arial"/>
        </w:rPr>
        <w:t xml:space="preserve">: those authorities taking part in 100% Business Rates Retention pilots will </w:t>
      </w:r>
      <w:r w:rsidR="00633D67">
        <w:rPr>
          <w:rFonts w:ascii="Calibri" w:hAnsi="Calibri" w:cs="Arial"/>
        </w:rPr>
        <w:t xml:space="preserve">not </w:t>
      </w:r>
      <w:r>
        <w:rPr>
          <w:rFonts w:ascii="Calibri" w:hAnsi="Calibri" w:cs="Arial"/>
        </w:rPr>
        <w:t xml:space="preserve">receive RSG as the funding will be reflected in an increased baseline funding level. </w:t>
      </w:r>
    </w:p>
    <w:p w:rsidR="0013745B" w:rsidRDefault="0013745B" w:rsidP="0013745B">
      <w:pPr>
        <w:pStyle w:val="ListParagraph"/>
        <w:rPr>
          <w:rFonts w:cs="Arial"/>
        </w:rPr>
      </w:pPr>
    </w:p>
    <w:p w:rsidR="0013745B" w:rsidRDefault="0013745B" w:rsidP="00066949">
      <w:pPr>
        <w:numPr>
          <w:ilvl w:val="0"/>
          <w:numId w:val="1"/>
        </w:numPr>
        <w:jc w:val="both"/>
        <w:rPr>
          <w:rFonts w:ascii="Calibri" w:hAnsi="Calibri" w:cs="Arial"/>
        </w:rPr>
      </w:pPr>
      <w:r>
        <w:rPr>
          <w:rFonts w:ascii="Calibri" w:hAnsi="Calibri" w:cs="Arial"/>
        </w:rPr>
        <w:t xml:space="preserve">Increase in </w:t>
      </w:r>
      <w:r w:rsidRPr="0013745B">
        <w:rPr>
          <w:rFonts w:ascii="Calibri" w:hAnsi="Calibri" w:cs="Arial"/>
          <w:b/>
        </w:rPr>
        <w:t>Rural Service Delivery Grant for 2018-19 to £65m</w:t>
      </w:r>
      <w:r>
        <w:rPr>
          <w:rFonts w:ascii="Calibri" w:hAnsi="Calibri" w:cs="Arial"/>
        </w:rPr>
        <w:t xml:space="preserve"> in line with 2017-18 and 2019-20. </w:t>
      </w:r>
      <w:r w:rsidR="00112981">
        <w:rPr>
          <w:rFonts w:ascii="Calibri" w:hAnsi="Calibri" w:cs="Arial"/>
        </w:rPr>
        <w:t>However, piloting authorities do forgo this grant.</w:t>
      </w:r>
    </w:p>
    <w:p w:rsidR="00A667D4" w:rsidRDefault="00A667D4" w:rsidP="00A667D4">
      <w:pPr>
        <w:pStyle w:val="ListParagraph"/>
        <w:rPr>
          <w:rFonts w:cs="Arial"/>
        </w:rPr>
      </w:pPr>
    </w:p>
    <w:p w:rsidR="00066949" w:rsidRPr="00E46FBB" w:rsidRDefault="00A667D4" w:rsidP="00066949">
      <w:pPr>
        <w:numPr>
          <w:ilvl w:val="0"/>
          <w:numId w:val="1"/>
        </w:numPr>
        <w:jc w:val="both"/>
        <w:rPr>
          <w:rFonts w:ascii="Calibri" w:hAnsi="Calibri" w:cs="Arial"/>
        </w:rPr>
      </w:pPr>
      <w:r>
        <w:rPr>
          <w:rFonts w:ascii="Calibri" w:hAnsi="Calibri" w:cs="Arial"/>
          <w:b/>
        </w:rPr>
        <w:t xml:space="preserve">£946m </w:t>
      </w:r>
      <w:r w:rsidRPr="00A667D4">
        <w:rPr>
          <w:rFonts w:ascii="Calibri" w:hAnsi="Calibri" w:cs="Arial"/>
        </w:rPr>
        <w:t xml:space="preserve">paid in </w:t>
      </w:r>
      <w:r>
        <w:rPr>
          <w:rFonts w:ascii="Calibri" w:hAnsi="Calibri" w:cs="Arial"/>
          <w:b/>
        </w:rPr>
        <w:t>New Homes Bonus.</w:t>
      </w:r>
      <w:r w:rsidRPr="00D357C3">
        <w:rPr>
          <w:rFonts w:ascii="Calibri" w:hAnsi="Calibri" w:cs="Arial"/>
        </w:rPr>
        <w:t xml:space="preserve"> </w:t>
      </w:r>
      <w:r w:rsidR="005841EB" w:rsidRPr="00D357C3">
        <w:rPr>
          <w:rFonts w:ascii="Calibri" w:hAnsi="Calibri" w:cs="Arial"/>
        </w:rPr>
        <w:t>Further</w:t>
      </w:r>
      <w:r w:rsidR="005841EB" w:rsidRPr="005841EB">
        <w:rPr>
          <w:rFonts w:ascii="Calibri" w:hAnsi="Calibri" w:cs="Arial"/>
          <w:b/>
        </w:rPr>
        <w:t xml:space="preserve"> </w:t>
      </w:r>
      <w:r w:rsidR="005841EB" w:rsidRPr="00D357C3">
        <w:rPr>
          <w:rFonts w:ascii="Calibri" w:hAnsi="Calibri" w:cs="Arial"/>
          <w:b/>
        </w:rPr>
        <w:t>r</w:t>
      </w:r>
      <w:r w:rsidR="00066949" w:rsidRPr="00D357C3">
        <w:rPr>
          <w:rFonts w:ascii="Calibri" w:hAnsi="Calibri" w:cs="Arial"/>
          <w:b/>
        </w:rPr>
        <w:t>eduction in the number of</w:t>
      </w:r>
      <w:r w:rsidR="00066949" w:rsidRPr="00E46FBB">
        <w:rPr>
          <w:rFonts w:ascii="Calibri" w:hAnsi="Calibri" w:cs="Arial"/>
        </w:rPr>
        <w:t xml:space="preserve"> </w:t>
      </w:r>
      <w:r w:rsidR="00066949" w:rsidRPr="00E46FBB">
        <w:rPr>
          <w:rFonts w:ascii="Calibri" w:hAnsi="Calibri" w:cs="Arial"/>
          <w:b/>
        </w:rPr>
        <w:t xml:space="preserve">payment years </w:t>
      </w:r>
      <w:r w:rsidR="00066949" w:rsidRPr="008C1238">
        <w:rPr>
          <w:rFonts w:ascii="Calibri" w:hAnsi="Calibri" w:cs="Arial"/>
        </w:rPr>
        <w:t xml:space="preserve">from </w:t>
      </w:r>
      <w:r w:rsidR="005841EB" w:rsidRPr="008C1238">
        <w:rPr>
          <w:rFonts w:ascii="Calibri" w:hAnsi="Calibri" w:cs="Arial"/>
        </w:rPr>
        <w:t>5</w:t>
      </w:r>
      <w:r w:rsidR="00066949" w:rsidRPr="008C1238">
        <w:rPr>
          <w:rFonts w:ascii="Calibri" w:hAnsi="Calibri" w:cs="Arial"/>
        </w:rPr>
        <w:t xml:space="preserve"> years </w:t>
      </w:r>
      <w:r w:rsidR="005841EB" w:rsidRPr="008C1238">
        <w:rPr>
          <w:rFonts w:ascii="Calibri" w:hAnsi="Calibri" w:cs="Arial"/>
        </w:rPr>
        <w:t xml:space="preserve">in 2017-18 </w:t>
      </w:r>
      <w:r w:rsidR="00066949" w:rsidRPr="008C1238">
        <w:rPr>
          <w:rFonts w:ascii="Calibri" w:hAnsi="Calibri" w:cs="Arial"/>
        </w:rPr>
        <w:t xml:space="preserve">to </w:t>
      </w:r>
      <w:r w:rsidR="005841EB" w:rsidRPr="008C1238">
        <w:rPr>
          <w:rFonts w:ascii="Calibri" w:hAnsi="Calibri" w:cs="Arial"/>
        </w:rPr>
        <w:t>4</w:t>
      </w:r>
      <w:r w:rsidR="00066949" w:rsidRPr="008C1238">
        <w:rPr>
          <w:rFonts w:ascii="Calibri" w:hAnsi="Calibri" w:cs="Arial"/>
        </w:rPr>
        <w:t xml:space="preserve"> years in 2018</w:t>
      </w:r>
      <w:r w:rsidR="005841EB" w:rsidRPr="008C1238">
        <w:rPr>
          <w:rFonts w:ascii="Calibri" w:hAnsi="Calibri" w:cs="Arial"/>
        </w:rPr>
        <w:t>-19</w:t>
      </w:r>
      <w:r w:rsidR="00066949" w:rsidRPr="008C1238">
        <w:rPr>
          <w:rFonts w:ascii="Calibri" w:hAnsi="Calibri" w:cs="Arial"/>
        </w:rPr>
        <w:t xml:space="preserve">. </w:t>
      </w:r>
      <w:r w:rsidRPr="008C1238">
        <w:rPr>
          <w:rFonts w:ascii="Calibri" w:hAnsi="Calibri" w:cs="Arial"/>
        </w:rPr>
        <w:t>NHB</w:t>
      </w:r>
      <w:r w:rsidR="00066949" w:rsidRPr="00E46FBB">
        <w:rPr>
          <w:rFonts w:ascii="Calibri" w:hAnsi="Calibri" w:cs="Arial"/>
        </w:rPr>
        <w:t xml:space="preserve"> will </w:t>
      </w:r>
      <w:r>
        <w:rPr>
          <w:rFonts w:ascii="Calibri" w:hAnsi="Calibri" w:cs="Arial"/>
        </w:rPr>
        <w:t xml:space="preserve">continue to be </w:t>
      </w:r>
      <w:r w:rsidR="00066949" w:rsidRPr="00E46FBB">
        <w:rPr>
          <w:rFonts w:ascii="Calibri" w:hAnsi="Calibri" w:cs="Arial"/>
        </w:rPr>
        <w:t xml:space="preserve">paid </w:t>
      </w:r>
      <w:r>
        <w:rPr>
          <w:rFonts w:ascii="Calibri" w:hAnsi="Calibri" w:cs="Arial"/>
        </w:rPr>
        <w:t xml:space="preserve">on housing growth </w:t>
      </w:r>
      <w:r w:rsidR="00066949" w:rsidRPr="00A667D4">
        <w:rPr>
          <w:rFonts w:ascii="Calibri" w:hAnsi="Calibri" w:cs="Arial"/>
        </w:rPr>
        <w:t>above 0.4%</w:t>
      </w:r>
      <w:r w:rsidR="00066949" w:rsidRPr="00E46FBB">
        <w:rPr>
          <w:rFonts w:ascii="Calibri" w:hAnsi="Calibri" w:cs="Arial"/>
        </w:rPr>
        <w:t xml:space="preserve"> </w:t>
      </w:r>
      <w:r w:rsidR="005841EB" w:rsidRPr="005841EB">
        <w:rPr>
          <w:rFonts w:ascii="Calibri" w:hAnsi="Calibri" w:cs="Arial"/>
        </w:rPr>
        <w:t>(0.4% in 2017-18)</w:t>
      </w:r>
      <w:r w:rsidR="00066949" w:rsidRPr="005841EB">
        <w:rPr>
          <w:rFonts w:ascii="Calibri" w:hAnsi="Calibri" w:cs="Arial"/>
        </w:rPr>
        <w:t>.</w:t>
      </w:r>
      <w:r w:rsidR="00066949" w:rsidRPr="00E46FBB">
        <w:rPr>
          <w:rFonts w:ascii="Calibri" w:hAnsi="Calibri" w:cs="Arial"/>
        </w:rPr>
        <w:t xml:space="preserve"> </w:t>
      </w:r>
      <w:r>
        <w:rPr>
          <w:rFonts w:ascii="Calibri" w:hAnsi="Calibri" w:cs="Arial"/>
        </w:rPr>
        <w:t>No further changes, as consulted on, in 2018-19.</w:t>
      </w:r>
    </w:p>
    <w:p w:rsidR="00066949" w:rsidRPr="00E46FBB" w:rsidRDefault="00066949" w:rsidP="00066949">
      <w:pPr>
        <w:pStyle w:val="ListParagraph"/>
        <w:rPr>
          <w:rFonts w:cs="Arial"/>
        </w:rPr>
      </w:pPr>
    </w:p>
    <w:p w:rsidR="00066949" w:rsidRPr="008C1238" w:rsidRDefault="00066949" w:rsidP="00066949">
      <w:pPr>
        <w:numPr>
          <w:ilvl w:val="0"/>
          <w:numId w:val="1"/>
        </w:numPr>
        <w:jc w:val="both"/>
        <w:rPr>
          <w:rFonts w:ascii="Calibri" w:hAnsi="Calibri" w:cs="Arial"/>
        </w:rPr>
      </w:pPr>
      <w:r w:rsidRPr="008C1238">
        <w:rPr>
          <w:rFonts w:ascii="Calibri" w:hAnsi="Calibri" w:cs="Arial"/>
        </w:rPr>
        <w:t xml:space="preserve">Savings from the New Homes Bonus </w:t>
      </w:r>
      <w:r w:rsidR="005841EB" w:rsidRPr="008C1238">
        <w:rPr>
          <w:rFonts w:ascii="Calibri" w:hAnsi="Calibri" w:cs="Arial"/>
        </w:rPr>
        <w:t xml:space="preserve">in 2017-18 were allocated </w:t>
      </w:r>
      <w:r w:rsidRPr="008C1238">
        <w:rPr>
          <w:rFonts w:ascii="Calibri" w:hAnsi="Calibri" w:cs="Arial"/>
        </w:rPr>
        <w:t xml:space="preserve">to local authorities as the </w:t>
      </w:r>
      <w:r w:rsidR="005841EB" w:rsidRPr="008C1238">
        <w:rPr>
          <w:rFonts w:ascii="Calibri" w:hAnsi="Calibri" w:cs="Arial"/>
        </w:rPr>
        <w:t>£24</w:t>
      </w:r>
      <w:r w:rsidRPr="008C1238">
        <w:rPr>
          <w:rFonts w:ascii="Calibri" w:hAnsi="Calibri" w:cs="Arial"/>
        </w:rPr>
        <w:t xml:space="preserve">1m </w:t>
      </w:r>
      <w:r w:rsidRPr="008C1238">
        <w:rPr>
          <w:rFonts w:ascii="Calibri" w:hAnsi="Calibri" w:cs="Arial"/>
          <w:b/>
        </w:rPr>
        <w:t>Adult Social Care Support Grant</w:t>
      </w:r>
      <w:r w:rsidR="005841EB" w:rsidRPr="008C1238">
        <w:rPr>
          <w:rFonts w:ascii="Calibri" w:hAnsi="Calibri" w:cs="Arial"/>
          <w:b/>
        </w:rPr>
        <w:t xml:space="preserve">. </w:t>
      </w:r>
      <w:r w:rsidR="005841EB" w:rsidRPr="008C1238">
        <w:rPr>
          <w:rFonts w:ascii="Calibri" w:hAnsi="Calibri" w:cs="Arial"/>
        </w:rPr>
        <w:t xml:space="preserve">Nothing announced for the 2018-19 savings. </w:t>
      </w:r>
    </w:p>
    <w:p w:rsidR="00A667D4" w:rsidRDefault="00A667D4" w:rsidP="00A667D4">
      <w:pPr>
        <w:pStyle w:val="ListParagraph"/>
        <w:rPr>
          <w:rFonts w:cs="Arial"/>
          <w:highlight w:val="yellow"/>
        </w:rPr>
      </w:pPr>
    </w:p>
    <w:p w:rsidR="00A667D4" w:rsidRPr="00A667D4" w:rsidRDefault="00A667D4" w:rsidP="00066949">
      <w:pPr>
        <w:numPr>
          <w:ilvl w:val="0"/>
          <w:numId w:val="1"/>
        </w:numPr>
        <w:jc w:val="both"/>
        <w:rPr>
          <w:rFonts w:ascii="Calibri" w:hAnsi="Calibri" w:cs="Arial"/>
        </w:rPr>
      </w:pPr>
      <w:r w:rsidRPr="00A667D4">
        <w:rPr>
          <w:rFonts w:ascii="Calibri" w:hAnsi="Calibri" w:cs="Arial"/>
        </w:rPr>
        <w:t xml:space="preserve">Continuation of capital </w:t>
      </w:r>
      <w:r w:rsidR="0013745B">
        <w:rPr>
          <w:rFonts w:ascii="Calibri" w:hAnsi="Calibri" w:cs="Arial"/>
        </w:rPr>
        <w:t xml:space="preserve">receipts </w:t>
      </w:r>
      <w:r w:rsidRPr="00A667D4">
        <w:rPr>
          <w:rFonts w:ascii="Calibri" w:hAnsi="Calibri" w:cs="Arial"/>
        </w:rPr>
        <w:t>flexibilities for a further 3 years</w:t>
      </w:r>
      <w:r w:rsidR="008C466D">
        <w:rPr>
          <w:rFonts w:ascii="Calibri" w:hAnsi="Calibri" w:cs="Arial"/>
        </w:rPr>
        <w:t>.</w:t>
      </w:r>
    </w:p>
    <w:p w:rsidR="005841EB" w:rsidRDefault="005841EB" w:rsidP="00066949">
      <w:pPr>
        <w:jc w:val="both"/>
        <w:rPr>
          <w:rFonts w:ascii="Calibri" w:hAnsi="Calibri" w:cs="Arial"/>
          <w:b/>
          <w:highlight w:val="yellow"/>
        </w:rPr>
      </w:pPr>
    </w:p>
    <w:p w:rsidR="0013745B" w:rsidRPr="002347E8" w:rsidRDefault="0013745B" w:rsidP="0013745B">
      <w:pPr>
        <w:jc w:val="both"/>
        <w:rPr>
          <w:rFonts w:ascii="Calibri" w:hAnsi="Calibri" w:cs="Arial"/>
          <w:b/>
        </w:rPr>
      </w:pPr>
      <w:r w:rsidRPr="002347E8">
        <w:rPr>
          <w:rFonts w:ascii="Calibri" w:hAnsi="Calibri" w:cs="Arial"/>
          <w:b/>
        </w:rPr>
        <w:t>COUNCIL TAX</w:t>
      </w:r>
    </w:p>
    <w:p w:rsidR="0013745B" w:rsidRPr="002347E8" w:rsidRDefault="0013745B" w:rsidP="0013745B">
      <w:pPr>
        <w:jc w:val="both"/>
        <w:rPr>
          <w:rFonts w:ascii="Calibri" w:hAnsi="Calibri" w:cs="Arial"/>
          <w:b/>
        </w:rPr>
      </w:pPr>
      <w:r w:rsidRPr="002347E8">
        <w:rPr>
          <w:rFonts w:ascii="Calibri" w:hAnsi="Calibri" w:cs="Arial"/>
          <w:b/>
        </w:rPr>
        <w:t>Council Tax Referendum Principles</w:t>
      </w:r>
    </w:p>
    <w:p w:rsidR="0013745B" w:rsidRPr="00E5057F" w:rsidRDefault="0013745B" w:rsidP="0013745B">
      <w:pPr>
        <w:pStyle w:val="Default"/>
        <w:jc w:val="both"/>
        <w:rPr>
          <w:rFonts w:asciiTheme="minorHAnsi" w:hAnsiTheme="minorHAnsi"/>
        </w:rPr>
      </w:pPr>
      <w:r w:rsidRPr="00E5057F">
        <w:rPr>
          <w:rFonts w:asciiTheme="minorHAnsi" w:hAnsiTheme="minorHAnsi"/>
        </w:rPr>
        <w:t xml:space="preserve">The Secretary of State announced the </w:t>
      </w:r>
      <w:r w:rsidRPr="004C569B">
        <w:rPr>
          <w:rFonts w:asciiTheme="minorHAnsi" w:hAnsiTheme="minorHAnsi"/>
        </w:rPr>
        <w:t xml:space="preserve">Government’s proposed referendum principles for 2018-19 in the </w:t>
      </w:r>
      <w:hyperlink r:id="rId13" w:history="1">
        <w:r w:rsidRPr="004C569B">
          <w:rPr>
            <w:rStyle w:val="Hyperlink"/>
            <w:rFonts w:asciiTheme="minorHAnsi" w:hAnsiTheme="minorHAnsi"/>
          </w:rPr>
          <w:t>draft principles report</w:t>
        </w:r>
      </w:hyperlink>
      <w:r w:rsidRPr="004C569B">
        <w:rPr>
          <w:rFonts w:asciiTheme="minorHAnsi" w:hAnsiTheme="minorHAnsi"/>
        </w:rPr>
        <w:t>.</w:t>
      </w:r>
      <w:r w:rsidRPr="00E5057F">
        <w:rPr>
          <w:rFonts w:asciiTheme="minorHAnsi" w:hAnsiTheme="minorHAnsi"/>
        </w:rPr>
        <w:t xml:space="preserve"> These were first outlined in the September 2017 </w:t>
      </w:r>
      <w:hyperlink r:id="rId14" w:history="1">
        <w:r w:rsidRPr="00E5057F">
          <w:rPr>
            <w:rStyle w:val="Hyperlink"/>
            <w:rFonts w:asciiTheme="minorHAnsi" w:hAnsiTheme="minorHAnsi"/>
          </w:rPr>
          <w:t>technical consultation on the 18-19 Settlement</w:t>
        </w:r>
      </w:hyperlink>
      <w:r w:rsidRPr="00E5057F">
        <w:rPr>
          <w:rFonts w:asciiTheme="minorHAnsi" w:hAnsiTheme="minorHAnsi"/>
        </w:rPr>
        <w:t xml:space="preserve"> where the consultation also asked whether further flexibilities were required for particular categories. </w:t>
      </w:r>
    </w:p>
    <w:p w:rsidR="0013745B" w:rsidRPr="00E5057F" w:rsidRDefault="0013745B" w:rsidP="0013745B">
      <w:pPr>
        <w:rPr>
          <w:rFonts w:asciiTheme="minorHAnsi" w:hAnsiTheme="minorHAnsi"/>
        </w:rPr>
      </w:pPr>
    </w:p>
    <w:p w:rsidR="0013745B" w:rsidRPr="00E5057F" w:rsidRDefault="0013745B" w:rsidP="0013745B">
      <w:pPr>
        <w:rPr>
          <w:rFonts w:asciiTheme="minorHAnsi" w:hAnsiTheme="minorHAnsi"/>
        </w:rPr>
      </w:pPr>
      <w:r w:rsidRPr="00E5057F">
        <w:rPr>
          <w:rFonts w:asciiTheme="minorHAnsi" w:hAnsiTheme="minorHAnsi"/>
        </w:rPr>
        <w:t>One major change has been announced today regarding LAs’ council tax.</w:t>
      </w:r>
      <w:r w:rsidR="00EE5AF8">
        <w:rPr>
          <w:rFonts w:asciiTheme="minorHAnsi" w:hAnsiTheme="minorHAnsi"/>
        </w:rPr>
        <w:t xml:space="preserve"> </w:t>
      </w:r>
      <w:r w:rsidRPr="00E5057F">
        <w:rPr>
          <w:rFonts w:asciiTheme="minorHAnsi" w:hAnsiTheme="minorHAnsi"/>
        </w:rPr>
        <w:t>Specifically, referendum principles will apply to council tax increases</w:t>
      </w:r>
      <w:r w:rsidR="00EE5AF8">
        <w:rPr>
          <w:rFonts w:asciiTheme="minorHAnsi" w:hAnsiTheme="minorHAnsi"/>
        </w:rPr>
        <w:t xml:space="preserve"> in </w:t>
      </w:r>
      <w:r w:rsidR="00016498">
        <w:rPr>
          <w:rFonts w:asciiTheme="minorHAnsi" w:hAnsiTheme="minorHAnsi"/>
        </w:rPr>
        <w:t>in excess of 2.99%</w:t>
      </w:r>
      <w:r w:rsidR="00EE5AF8">
        <w:rPr>
          <w:rFonts w:asciiTheme="minorHAnsi" w:hAnsiTheme="minorHAnsi"/>
        </w:rPr>
        <w:t xml:space="preserve"> for </w:t>
      </w:r>
      <w:r w:rsidR="00EE5AF8" w:rsidRPr="00EE5AF8">
        <w:rPr>
          <w:rFonts w:asciiTheme="minorHAnsi" w:hAnsiTheme="minorHAnsi"/>
          <w:u w:val="single"/>
        </w:rPr>
        <w:t>2018-19 and 2019-20</w:t>
      </w:r>
      <w:r w:rsidR="00EE5AF8" w:rsidRPr="00EE5AF8">
        <w:rPr>
          <w:rFonts w:asciiTheme="minorHAnsi" w:hAnsiTheme="minorHAnsi"/>
        </w:rPr>
        <w:t>. This is an increase on the 2017-18 referendum limit of</w:t>
      </w:r>
      <w:r w:rsidR="00EE5AF8" w:rsidRPr="00EE5AF8">
        <w:rPr>
          <w:rFonts w:asciiTheme="minorHAnsi" w:hAnsiTheme="minorHAnsi"/>
          <w:i/>
        </w:rPr>
        <w:t xml:space="preserve"> </w:t>
      </w:r>
      <w:r w:rsidR="00EE5AF8" w:rsidRPr="00E5057F">
        <w:rPr>
          <w:rFonts w:asciiTheme="minorHAnsi" w:hAnsiTheme="minorHAnsi"/>
        </w:rPr>
        <w:t>1.99</w:t>
      </w:r>
      <w:r w:rsidR="00EE5AF8">
        <w:rPr>
          <w:rFonts w:asciiTheme="minorHAnsi" w:hAnsiTheme="minorHAnsi"/>
        </w:rPr>
        <w:t xml:space="preserve">% and </w:t>
      </w:r>
      <w:r w:rsidRPr="00E5057F">
        <w:rPr>
          <w:rFonts w:asciiTheme="minorHAnsi" w:hAnsiTheme="minorHAnsi"/>
        </w:rPr>
        <w:t>bring</w:t>
      </w:r>
      <w:r w:rsidR="00EE5AF8">
        <w:rPr>
          <w:rFonts w:asciiTheme="minorHAnsi" w:hAnsiTheme="minorHAnsi"/>
        </w:rPr>
        <w:t>s council tax i</w:t>
      </w:r>
      <w:r w:rsidRPr="00E5057F">
        <w:rPr>
          <w:rFonts w:asciiTheme="minorHAnsi" w:hAnsiTheme="minorHAnsi"/>
        </w:rPr>
        <w:t xml:space="preserve">n line with </w:t>
      </w:r>
      <w:r w:rsidR="00EE5AF8">
        <w:rPr>
          <w:rFonts w:asciiTheme="minorHAnsi" w:hAnsiTheme="minorHAnsi"/>
        </w:rPr>
        <w:t xml:space="preserve">current levels of </w:t>
      </w:r>
      <w:r w:rsidRPr="00E5057F">
        <w:rPr>
          <w:rFonts w:asciiTheme="minorHAnsi" w:hAnsiTheme="minorHAnsi"/>
        </w:rPr>
        <w:t>inflation</w:t>
      </w:r>
      <w:r w:rsidR="00EE5AF8">
        <w:rPr>
          <w:rFonts w:asciiTheme="minorHAnsi" w:hAnsiTheme="minorHAnsi"/>
        </w:rPr>
        <w:t xml:space="preserve"> (CPI)</w:t>
      </w:r>
      <w:r w:rsidRPr="00E5057F">
        <w:rPr>
          <w:rFonts w:asciiTheme="minorHAnsi" w:hAnsiTheme="minorHAnsi"/>
        </w:rPr>
        <w:t>.</w:t>
      </w:r>
    </w:p>
    <w:p w:rsidR="0013745B" w:rsidRPr="00E5057F" w:rsidRDefault="0013745B" w:rsidP="0013745B">
      <w:pPr>
        <w:rPr>
          <w:rFonts w:asciiTheme="minorHAnsi" w:hAnsiTheme="minorHAnsi"/>
        </w:rPr>
      </w:pPr>
    </w:p>
    <w:p w:rsidR="0013745B" w:rsidRPr="00E5057F" w:rsidRDefault="0013745B" w:rsidP="0013745B">
      <w:pPr>
        <w:pStyle w:val="Default"/>
        <w:jc w:val="both"/>
        <w:rPr>
          <w:rFonts w:asciiTheme="minorHAnsi" w:hAnsiTheme="minorHAnsi"/>
        </w:rPr>
      </w:pPr>
      <w:r w:rsidRPr="00E5057F">
        <w:rPr>
          <w:rFonts w:asciiTheme="minorHAnsi" w:hAnsiTheme="minorHAnsi"/>
        </w:rPr>
        <w:t>Today’s draft principles include:</w:t>
      </w:r>
    </w:p>
    <w:p w:rsidR="0013745B" w:rsidRPr="00E5057F" w:rsidRDefault="0013745B" w:rsidP="0013745B">
      <w:pPr>
        <w:pStyle w:val="Default"/>
        <w:jc w:val="both"/>
        <w:rPr>
          <w:rFonts w:asciiTheme="minorHAnsi" w:hAnsiTheme="minorHAnsi"/>
          <w:sz w:val="20"/>
          <w:szCs w:val="20"/>
        </w:rPr>
      </w:pPr>
    </w:p>
    <w:p w:rsidR="0013745B" w:rsidRPr="00E5057F" w:rsidRDefault="0013745B" w:rsidP="0013745B">
      <w:pPr>
        <w:pStyle w:val="Default"/>
        <w:numPr>
          <w:ilvl w:val="0"/>
          <w:numId w:val="12"/>
        </w:numPr>
        <w:adjustRightInd/>
        <w:jc w:val="both"/>
        <w:rPr>
          <w:rFonts w:asciiTheme="minorHAnsi" w:hAnsiTheme="minorHAnsi"/>
          <w:b/>
          <w:bCs/>
        </w:rPr>
      </w:pPr>
      <w:r w:rsidRPr="00E5057F">
        <w:rPr>
          <w:rFonts w:asciiTheme="minorHAnsi" w:hAnsiTheme="minorHAnsi"/>
          <w:b/>
          <w:bCs/>
        </w:rPr>
        <w:t>3% council tax referendum trigger for counties, unitaries, London boroughs and GLA (up from 2%)</w:t>
      </w:r>
    </w:p>
    <w:p w:rsidR="0013745B" w:rsidRPr="00E5057F" w:rsidRDefault="0013745B" w:rsidP="0013745B">
      <w:pPr>
        <w:pStyle w:val="Default"/>
        <w:numPr>
          <w:ilvl w:val="0"/>
          <w:numId w:val="12"/>
        </w:numPr>
        <w:adjustRightInd/>
        <w:jc w:val="both"/>
        <w:rPr>
          <w:rFonts w:asciiTheme="minorHAnsi" w:hAnsiTheme="minorHAnsi"/>
        </w:rPr>
      </w:pPr>
      <w:r w:rsidRPr="00E5057F">
        <w:rPr>
          <w:rFonts w:asciiTheme="minorHAnsi" w:hAnsiTheme="minorHAnsi"/>
          <w:b/>
          <w:bCs/>
        </w:rPr>
        <w:t>Continuation of the ASC precept</w:t>
      </w:r>
      <w:r w:rsidRPr="00E5057F">
        <w:rPr>
          <w:rFonts w:asciiTheme="minorHAnsi" w:hAnsiTheme="minorHAnsi"/>
        </w:rPr>
        <w:t xml:space="preserve"> at 2% with the flexibility to increase the precept by 1% to 3% in 2018-19 provided that increases do not exceed 6% between 2017-18 and 2019-20</w:t>
      </w:r>
    </w:p>
    <w:p w:rsidR="0013745B" w:rsidRPr="00E5057F" w:rsidRDefault="0013745B" w:rsidP="0013745B">
      <w:pPr>
        <w:pStyle w:val="Default"/>
        <w:numPr>
          <w:ilvl w:val="0"/>
          <w:numId w:val="12"/>
        </w:numPr>
        <w:adjustRightInd/>
        <w:jc w:val="both"/>
        <w:rPr>
          <w:rFonts w:asciiTheme="minorHAnsi" w:hAnsiTheme="minorHAnsi"/>
        </w:rPr>
      </w:pPr>
      <w:r w:rsidRPr="00E5057F">
        <w:rPr>
          <w:rFonts w:asciiTheme="minorHAnsi" w:hAnsiTheme="minorHAnsi"/>
        </w:rPr>
        <w:t>For shire districts 3% council tax referendum trigger or £5, whichever is higher (up from 2%</w:t>
      </w:r>
      <w:proofErr w:type="gramStart"/>
      <w:r w:rsidRPr="00E5057F">
        <w:rPr>
          <w:rFonts w:asciiTheme="minorHAnsi" w:hAnsiTheme="minorHAnsi"/>
        </w:rPr>
        <w:t>)</w:t>
      </w:r>
      <w:proofErr w:type="gramEnd"/>
    </w:p>
    <w:p w:rsidR="0013745B" w:rsidRPr="00E5057F" w:rsidRDefault="0013745B" w:rsidP="0013745B">
      <w:pPr>
        <w:pStyle w:val="Default"/>
        <w:numPr>
          <w:ilvl w:val="0"/>
          <w:numId w:val="12"/>
        </w:numPr>
        <w:adjustRightInd/>
        <w:jc w:val="both"/>
        <w:rPr>
          <w:rFonts w:asciiTheme="minorHAnsi" w:hAnsiTheme="minorHAnsi"/>
        </w:rPr>
      </w:pPr>
      <w:r w:rsidRPr="00E5057F">
        <w:rPr>
          <w:rFonts w:asciiTheme="minorHAnsi" w:hAnsiTheme="minorHAnsi"/>
        </w:rPr>
        <w:t>Police precepts can be increased by up to £12. This equates to between 5.34% and 12.20% for English PCCs. This compares to allowing a £5 increase for those in the lowest quartile of PCCs and a 2% threshold otherwise</w:t>
      </w:r>
      <w:r w:rsidR="00D357C3">
        <w:rPr>
          <w:rFonts w:asciiTheme="minorHAnsi" w:hAnsiTheme="minorHAnsi"/>
        </w:rPr>
        <w:t xml:space="preserve"> in 2017-18</w:t>
      </w:r>
      <w:r w:rsidRPr="00E5057F">
        <w:rPr>
          <w:rFonts w:asciiTheme="minorHAnsi" w:hAnsiTheme="minorHAnsi"/>
        </w:rPr>
        <w:t xml:space="preserve">. </w:t>
      </w:r>
    </w:p>
    <w:p w:rsidR="0013745B" w:rsidRPr="00E5057F" w:rsidRDefault="0013745B" w:rsidP="0013745B">
      <w:pPr>
        <w:rPr>
          <w:rFonts w:asciiTheme="minorHAnsi" w:hAnsiTheme="minorHAnsi"/>
        </w:rPr>
      </w:pPr>
    </w:p>
    <w:p w:rsidR="0013745B" w:rsidRPr="00E5057F" w:rsidRDefault="0013745B" w:rsidP="0013745B">
      <w:pPr>
        <w:rPr>
          <w:rFonts w:asciiTheme="minorHAnsi" w:hAnsiTheme="minorHAnsi"/>
        </w:rPr>
      </w:pPr>
      <w:r w:rsidRPr="00E5057F">
        <w:rPr>
          <w:rFonts w:asciiTheme="minorHAnsi" w:hAnsiTheme="minorHAnsi"/>
        </w:rPr>
        <w:t>Last year, the Government asked parish and town councils to “exercise restraint” and transparency when deciding precept increases. The Technical Consultation said that this arrangement could continue into 2018-19 as long as the Government had evidence that this was being adhered to. Today, Mr Javid confirmed that the government intends to defer the setting of referendum principles for town and parish councils for three years.</w:t>
      </w:r>
    </w:p>
    <w:p w:rsidR="0013745B" w:rsidRDefault="0013745B" w:rsidP="00066949">
      <w:pPr>
        <w:jc w:val="both"/>
        <w:rPr>
          <w:rFonts w:ascii="Calibri" w:hAnsi="Calibri" w:cs="Arial"/>
          <w:b/>
          <w:highlight w:val="yellow"/>
        </w:rPr>
      </w:pPr>
    </w:p>
    <w:p w:rsidR="0016480E" w:rsidRDefault="0016480E" w:rsidP="00066949">
      <w:pPr>
        <w:jc w:val="both"/>
        <w:rPr>
          <w:rFonts w:ascii="Calibri" w:hAnsi="Calibri" w:cs="Arial"/>
          <w:b/>
        </w:rPr>
      </w:pPr>
      <w:r>
        <w:rPr>
          <w:rFonts w:ascii="Calibri" w:hAnsi="Calibri" w:cs="Arial"/>
          <w:b/>
        </w:rPr>
        <w:t>B</w:t>
      </w:r>
      <w:r w:rsidR="0013745B">
        <w:rPr>
          <w:rFonts w:ascii="Calibri" w:hAnsi="Calibri" w:cs="Arial"/>
          <w:b/>
        </w:rPr>
        <w:t>usiness Rate</w:t>
      </w:r>
      <w:r w:rsidR="00112981">
        <w:rPr>
          <w:rFonts w:ascii="Calibri" w:hAnsi="Calibri" w:cs="Arial"/>
          <w:b/>
        </w:rPr>
        <w:t>s</w:t>
      </w:r>
      <w:r w:rsidR="0013745B">
        <w:rPr>
          <w:rFonts w:ascii="Calibri" w:hAnsi="Calibri" w:cs="Arial"/>
          <w:b/>
        </w:rPr>
        <w:t xml:space="preserve"> Retention and Negative </w:t>
      </w:r>
      <w:r>
        <w:rPr>
          <w:rFonts w:ascii="Calibri" w:hAnsi="Calibri" w:cs="Arial"/>
          <w:b/>
        </w:rPr>
        <w:t>RSG</w:t>
      </w:r>
    </w:p>
    <w:p w:rsidR="00A667D4" w:rsidRDefault="00A667D4" w:rsidP="00A667D4">
      <w:pPr>
        <w:rPr>
          <w:rFonts w:asciiTheme="minorHAnsi" w:hAnsiTheme="minorHAnsi"/>
        </w:rPr>
      </w:pPr>
      <w:r w:rsidRPr="00A667D4">
        <w:rPr>
          <w:rFonts w:asciiTheme="minorHAnsi" w:hAnsiTheme="minorHAnsi"/>
        </w:rPr>
        <w:t>Following the</w:t>
      </w:r>
      <w:r>
        <w:rPr>
          <w:rFonts w:asciiTheme="minorHAnsi" w:hAnsiTheme="minorHAnsi"/>
        </w:rPr>
        <w:t xml:space="preserve"> </w:t>
      </w:r>
      <w:r w:rsidRPr="00A667D4">
        <w:rPr>
          <w:rFonts w:asciiTheme="minorHAnsi" w:hAnsiTheme="minorHAnsi"/>
        </w:rPr>
        <w:t xml:space="preserve">2017 General Election and the omission of the Local Government Finance Bill in the Queen’s Speech, the Government moved from its pursuit of 100% Business Rates Retention to </w:t>
      </w:r>
      <w:r w:rsidRPr="00A667D4">
        <w:rPr>
          <w:rFonts w:asciiTheme="minorHAnsi" w:hAnsiTheme="minorHAnsi"/>
          <w:i/>
        </w:rPr>
        <w:t>increased</w:t>
      </w:r>
      <w:r w:rsidRPr="00A667D4">
        <w:rPr>
          <w:rFonts w:asciiTheme="minorHAnsi" w:hAnsiTheme="minorHAnsi"/>
        </w:rPr>
        <w:t xml:space="preserve"> Business Rates Retention. Due to the General Election the implementation date of 2019-20 was delayed to 2020-21.</w:t>
      </w:r>
    </w:p>
    <w:p w:rsidR="00A667D4" w:rsidRPr="00A667D4" w:rsidRDefault="00A667D4" w:rsidP="00A667D4">
      <w:pPr>
        <w:rPr>
          <w:rFonts w:asciiTheme="minorHAnsi" w:hAnsiTheme="minorHAnsi"/>
        </w:rPr>
      </w:pPr>
    </w:p>
    <w:p w:rsidR="00A667D4" w:rsidRPr="00A667D4" w:rsidRDefault="00A667D4" w:rsidP="00A667D4">
      <w:pPr>
        <w:rPr>
          <w:rFonts w:asciiTheme="minorHAnsi" w:hAnsiTheme="minorHAnsi"/>
        </w:rPr>
      </w:pPr>
      <w:r w:rsidRPr="00A667D4">
        <w:rPr>
          <w:rFonts w:asciiTheme="minorHAnsi" w:hAnsiTheme="minorHAnsi"/>
        </w:rPr>
        <w:t>In today’s announcement, the Communities Secretary announced the Government’s aim to increase the local share of business rates retention to 75% in 2020-21. This will be through incorporating existing grants into business rate retention including the Revenue Support Grant, and the Public Health Grant.</w:t>
      </w:r>
      <w:r w:rsidR="00EE5AF8">
        <w:rPr>
          <w:rFonts w:asciiTheme="minorHAnsi" w:hAnsiTheme="minorHAnsi"/>
        </w:rPr>
        <w:t xml:space="preserve"> The remaining 25% central share will be returned to HM Treasury and recycled back to local government but this will not be visible. </w:t>
      </w:r>
    </w:p>
    <w:p w:rsidR="00A667D4" w:rsidRDefault="00A667D4" w:rsidP="00A667D4">
      <w:pPr>
        <w:rPr>
          <w:rFonts w:asciiTheme="minorHAnsi" w:hAnsiTheme="minorHAnsi"/>
        </w:rPr>
      </w:pPr>
    </w:p>
    <w:p w:rsidR="00A667D4" w:rsidRDefault="00A667D4" w:rsidP="00A667D4">
      <w:pPr>
        <w:rPr>
          <w:rFonts w:asciiTheme="minorHAnsi" w:hAnsiTheme="minorHAnsi"/>
        </w:rPr>
      </w:pPr>
      <w:r w:rsidRPr="00A667D4">
        <w:rPr>
          <w:rFonts w:asciiTheme="minorHAnsi" w:hAnsiTheme="minorHAnsi"/>
        </w:rPr>
        <w:t xml:space="preserve">Local authorities will be able to keep that same share of growth on </w:t>
      </w:r>
      <w:r>
        <w:rPr>
          <w:rFonts w:asciiTheme="minorHAnsi" w:hAnsiTheme="minorHAnsi"/>
        </w:rPr>
        <w:t>their baseline levels from 2020-</w:t>
      </w:r>
      <w:r w:rsidRPr="00A667D4">
        <w:rPr>
          <w:rFonts w:asciiTheme="minorHAnsi" w:hAnsiTheme="minorHAnsi"/>
        </w:rPr>
        <w:t>21, when the system is reset.</w:t>
      </w:r>
      <w:r>
        <w:rPr>
          <w:rFonts w:asciiTheme="minorHAnsi" w:hAnsiTheme="minorHAnsi"/>
        </w:rPr>
        <w:t xml:space="preserve"> </w:t>
      </w:r>
      <w:r w:rsidRPr="00A667D4">
        <w:rPr>
          <w:rFonts w:asciiTheme="minorHAnsi" w:hAnsiTheme="minorHAnsi"/>
        </w:rPr>
        <w:t xml:space="preserve">Nonetheless, existing </w:t>
      </w:r>
      <w:r w:rsidR="00C43110">
        <w:rPr>
          <w:rFonts w:asciiTheme="minorHAnsi" w:hAnsiTheme="minorHAnsi"/>
        </w:rPr>
        <w:t>and newly announced pilots will be based on a 100% local share of business rates.</w:t>
      </w:r>
    </w:p>
    <w:p w:rsidR="00A667D4" w:rsidRPr="00A667D4" w:rsidRDefault="00A667D4" w:rsidP="00A667D4">
      <w:pPr>
        <w:rPr>
          <w:rFonts w:asciiTheme="minorHAnsi" w:hAnsiTheme="minorHAnsi"/>
        </w:rPr>
      </w:pPr>
    </w:p>
    <w:p w:rsidR="00A667D4" w:rsidRDefault="00A667D4" w:rsidP="00A667D4">
      <w:pPr>
        <w:rPr>
          <w:rFonts w:asciiTheme="minorHAnsi" w:hAnsiTheme="minorHAnsi"/>
        </w:rPr>
      </w:pPr>
      <w:r w:rsidRPr="00A667D4">
        <w:rPr>
          <w:rFonts w:asciiTheme="minorHAnsi" w:hAnsiTheme="minorHAnsi"/>
        </w:rPr>
        <w:t>The much anticipated Fair Funding Review consultation has also been published today for implementation in 2020-21. The Technical Support Team will circulate a briefing on the consultation shortly.</w:t>
      </w:r>
    </w:p>
    <w:p w:rsidR="00A667D4" w:rsidRPr="00A667D4" w:rsidRDefault="00A667D4" w:rsidP="00A667D4">
      <w:pPr>
        <w:rPr>
          <w:rFonts w:asciiTheme="minorHAnsi" w:hAnsiTheme="minorHAnsi"/>
        </w:rPr>
      </w:pPr>
    </w:p>
    <w:p w:rsidR="00A667D4" w:rsidRPr="00A667D4" w:rsidRDefault="00A667D4" w:rsidP="00A667D4">
      <w:pPr>
        <w:rPr>
          <w:rFonts w:asciiTheme="minorHAnsi" w:hAnsiTheme="minorHAnsi"/>
        </w:rPr>
      </w:pPr>
      <w:r w:rsidRPr="00A667D4">
        <w:rPr>
          <w:rFonts w:asciiTheme="minorHAnsi" w:hAnsiTheme="minorHAnsi"/>
        </w:rPr>
        <w:t xml:space="preserve">The Secretary of State acknowledged LAs’ concerns regarding negative RSG in 2019-20 saying that the Government was looking for </w:t>
      </w:r>
      <w:r>
        <w:rPr>
          <w:rFonts w:asciiTheme="minorHAnsi" w:hAnsiTheme="minorHAnsi"/>
        </w:rPr>
        <w:t>“</w:t>
      </w:r>
      <w:r w:rsidRPr="00A667D4">
        <w:rPr>
          <w:rFonts w:asciiTheme="minorHAnsi" w:hAnsiTheme="minorHAnsi"/>
        </w:rPr>
        <w:t>fai</w:t>
      </w:r>
      <w:r>
        <w:rPr>
          <w:rFonts w:asciiTheme="minorHAnsi" w:hAnsiTheme="minorHAnsi"/>
        </w:rPr>
        <w:t xml:space="preserve">r and affordable options”. The Government will publish </w:t>
      </w:r>
      <w:r w:rsidRPr="00A667D4">
        <w:rPr>
          <w:rFonts w:asciiTheme="minorHAnsi" w:hAnsiTheme="minorHAnsi"/>
        </w:rPr>
        <w:t xml:space="preserve">a consultation </w:t>
      </w:r>
      <w:r>
        <w:rPr>
          <w:rFonts w:asciiTheme="minorHAnsi" w:hAnsiTheme="minorHAnsi"/>
        </w:rPr>
        <w:t xml:space="preserve">on these </w:t>
      </w:r>
      <w:r w:rsidRPr="00A667D4">
        <w:rPr>
          <w:rFonts w:asciiTheme="minorHAnsi" w:hAnsiTheme="minorHAnsi"/>
        </w:rPr>
        <w:t>in spring 2018</w:t>
      </w:r>
      <w:r>
        <w:rPr>
          <w:rFonts w:asciiTheme="minorHAnsi" w:hAnsiTheme="minorHAnsi"/>
        </w:rPr>
        <w:t xml:space="preserve"> in order to complete the </w:t>
      </w:r>
      <w:r w:rsidRPr="00A667D4">
        <w:rPr>
          <w:rFonts w:asciiTheme="minorHAnsi" w:hAnsiTheme="minorHAnsi"/>
        </w:rPr>
        <w:t>process before</w:t>
      </w:r>
      <w:r>
        <w:rPr>
          <w:rFonts w:asciiTheme="minorHAnsi" w:hAnsiTheme="minorHAnsi"/>
        </w:rPr>
        <w:t xml:space="preserve"> publication of the 2019-20 provisional s</w:t>
      </w:r>
      <w:r w:rsidRPr="00A667D4">
        <w:rPr>
          <w:rFonts w:asciiTheme="minorHAnsi" w:hAnsiTheme="minorHAnsi"/>
        </w:rPr>
        <w:t xml:space="preserve">ettlement. </w:t>
      </w:r>
    </w:p>
    <w:p w:rsidR="0016480E" w:rsidRDefault="0016480E" w:rsidP="00066949">
      <w:pPr>
        <w:jc w:val="both"/>
        <w:rPr>
          <w:rFonts w:ascii="Calibri" w:hAnsi="Calibri" w:cs="Arial"/>
          <w:b/>
        </w:rPr>
      </w:pPr>
    </w:p>
    <w:p w:rsidR="00066949" w:rsidRPr="00E5441E" w:rsidRDefault="00066949" w:rsidP="00066949">
      <w:pPr>
        <w:jc w:val="both"/>
        <w:rPr>
          <w:rFonts w:asciiTheme="minorHAnsi" w:hAnsiTheme="minorHAnsi" w:cs="Arial"/>
          <w:b/>
        </w:rPr>
      </w:pPr>
      <w:r w:rsidRPr="00E5441E">
        <w:rPr>
          <w:rFonts w:asciiTheme="minorHAnsi" w:hAnsiTheme="minorHAnsi" w:cs="Arial"/>
          <w:b/>
        </w:rPr>
        <w:t>P</w:t>
      </w:r>
      <w:r w:rsidR="0013745B">
        <w:rPr>
          <w:rFonts w:asciiTheme="minorHAnsi" w:hAnsiTheme="minorHAnsi" w:cs="Arial"/>
          <w:b/>
        </w:rPr>
        <w:t>ilots</w:t>
      </w:r>
    </w:p>
    <w:p w:rsidR="00E5441E" w:rsidRPr="00E5441E" w:rsidRDefault="00E5441E" w:rsidP="00E5441E">
      <w:pPr>
        <w:jc w:val="both"/>
        <w:rPr>
          <w:rFonts w:asciiTheme="minorHAnsi" w:hAnsiTheme="minorHAnsi"/>
        </w:rPr>
      </w:pPr>
      <w:r w:rsidRPr="00E5441E">
        <w:rPr>
          <w:rFonts w:asciiTheme="minorHAnsi" w:hAnsiTheme="minorHAnsi"/>
        </w:rPr>
        <w:t>The Government had already announced that the 2017-18 pilots</w:t>
      </w:r>
      <w:r w:rsidRPr="00E5441E">
        <w:rPr>
          <w:rStyle w:val="FootnoteReference"/>
          <w:rFonts w:asciiTheme="minorHAnsi" w:hAnsiTheme="minorHAnsi"/>
        </w:rPr>
        <w:footnoteReference w:customMarkFollows="1" w:id="1"/>
        <w:t>[1]</w:t>
      </w:r>
      <w:r w:rsidRPr="00E5441E">
        <w:rPr>
          <w:rFonts w:asciiTheme="minorHAnsi" w:hAnsiTheme="minorHAnsi"/>
        </w:rPr>
        <w:t xml:space="preserve"> would be extended into 2018-19. The 2017 Autumn Budget also announced 100% business rates retention for London councils in 2018-19.  </w:t>
      </w:r>
    </w:p>
    <w:p w:rsidR="00E5441E" w:rsidRPr="00E5441E" w:rsidRDefault="00E5441E" w:rsidP="00E5441E">
      <w:pPr>
        <w:jc w:val="both"/>
        <w:rPr>
          <w:rFonts w:asciiTheme="minorHAnsi" w:hAnsiTheme="minorHAnsi"/>
        </w:rPr>
      </w:pPr>
    </w:p>
    <w:p w:rsidR="00E5441E" w:rsidRPr="00E5441E" w:rsidRDefault="00E5441E" w:rsidP="00E5441E">
      <w:pPr>
        <w:jc w:val="both"/>
        <w:rPr>
          <w:rFonts w:asciiTheme="minorHAnsi" w:hAnsiTheme="minorHAnsi"/>
        </w:rPr>
      </w:pPr>
      <w:r w:rsidRPr="00E5441E">
        <w:rPr>
          <w:rFonts w:asciiTheme="minorHAnsi" w:hAnsiTheme="minorHAnsi"/>
        </w:rPr>
        <w:t xml:space="preserve">On 1 September 2017 the DCLG published a prospectus inviting local authorities to submit proposals to pilot 100% business rates retention in 2018-19. 24 SCT members submitted plans, or were part of plans, to become a pilot area in 2018-19. Authorities selected as pilots for 2018-19 will forego Revenue Support Grant (RSG) and Rural Services </w:t>
      </w:r>
      <w:r w:rsidR="00C41B63">
        <w:rPr>
          <w:rFonts w:asciiTheme="minorHAnsi" w:hAnsiTheme="minorHAnsi"/>
        </w:rPr>
        <w:t xml:space="preserve">Delivery </w:t>
      </w:r>
      <w:r w:rsidRPr="00E5441E">
        <w:rPr>
          <w:rFonts w:asciiTheme="minorHAnsi" w:hAnsiTheme="minorHAnsi"/>
        </w:rPr>
        <w:t>Grant – the combined value of which will be taken into account in setting revised baseline funding levels and tariffs and top-ups. This will ensure that the changes are cost neutral, except for the value of any growth retained. These new pilots were not given the option to take on additional responsibilities.</w:t>
      </w:r>
    </w:p>
    <w:p w:rsidR="00E5441E" w:rsidRPr="00E5441E" w:rsidRDefault="00E5441E" w:rsidP="00E5441E">
      <w:pPr>
        <w:jc w:val="both"/>
        <w:rPr>
          <w:rFonts w:asciiTheme="minorHAnsi" w:hAnsiTheme="minorHAnsi"/>
        </w:rPr>
      </w:pPr>
    </w:p>
    <w:p w:rsidR="00E5441E" w:rsidRPr="00E5441E" w:rsidRDefault="00C41B63" w:rsidP="00E5441E">
      <w:pPr>
        <w:jc w:val="both"/>
        <w:rPr>
          <w:rFonts w:asciiTheme="minorHAnsi" w:hAnsiTheme="minorHAnsi"/>
        </w:rPr>
      </w:pPr>
      <w:r>
        <w:rPr>
          <w:rFonts w:asciiTheme="minorHAnsi" w:hAnsiTheme="minorHAnsi"/>
        </w:rPr>
        <w:t>T</w:t>
      </w:r>
      <w:r w:rsidR="00E5441E" w:rsidRPr="00E5441E">
        <w:rPr>
          <w:rFonts w:asciiTheme="minorHAnsi" w:hAnsiTheme="minorHAnsi"/>
        </w:rPr>
        <w:t xml:space="preserve">he Technical Support Team </w:t>
      </w:r>
      <w:r>
        <w:rPr>
          <w:rFonts w:asciiTheme="minorHAnsi" w:hAnsiTheme="minorHAnsi"/>
        </w:rPr>
        <w:t>understands</w:t>
      </w:r>
      <w:r w:rsidR="00E5441E" w:rsidRPr="00E5441E">
        <w:rPr>
          <w:rFonts w:asciiTheme="minorHAnsi" w:hAnsiTheme="minorHAnsi"/>
        </w:rPr>
        <w:t xml:space="preserve"> that it was never likely that all of these pilot plans would be approved due to the costs involved. </w:t>
      </w:r>
    </w:p>
    <w:p w:rsidR="00E5441E" w:rsidRPr="00E5441E" w:rsidRDefault="00E5441E" w:rsidP="00E5441E">
      <w:pPr>
        <w:rPr>
          <w:rFonts w:asciiTheme="minorHAnsi" w:hAnsiTheme="minorHAnsi"/>
          <w:color w:val="1F497D"/>
        </w:rPr>
      </w:pPr>
    </w:p>
    <w:p w:rsidR="00E5441E" w:rsidRPr="00E5441E" w:rsidRDefault="00E5441E" w:rsidP="00E5441E">
      <w:pPr>
        <w:rPr>
          <w:rFonts w:asciiTheme="minorHAnsi" w:hAnsiTheme="minorHAnsi"/>
        </w:rPr>
      </w:pPr>
      <w:r w:rsidRPr="00E5441E">
        <w:rPr>
          <w:rFonts w:asciiTheme="minorHAnsi" w:hAnsiTheme="minorHAnsi"/>
        </w:rPr>
        <w:lastRenderedPageBreak/>
        <w:t xml:space="preserve">Today’s announcement states that from 2020-21 the Government intends to implement 75% Business Rates Retention. Despite this, </w:t>
      </w:r>
      <w:r w:rsidR="00C43110">
        <w:rPr>
          <w:rFonts w:asciiTheme="minorHAnsi" w:hAnsiTheme="minorHAnsi"/>
        </w:rPr>
        <w:t>pilots will be based on a 100% local share of business rates.</w:t>
      </w:r>
    </w:p>
    <w:p w:rsidR="00E5441E" w:rsidRPr="00E5441E" w:rsidRDefault="00E5441E" w:rsidP="00E5441E">
      <w:pPr>
        <w:rPr>
          <w:rFonts w:asciiTheme="minorHAnsi" w:hAnsiTheme="minorHAnsi"/>
        </w:rPr>
      </w:pPr>
    </w:p>
    <w:p w:rsidR="00E5441E" w:rsidRDefault="00E5441E" w:rsidP="00E5441E">
      <w:pPr>
        <w:rPr>
          <w:rFonts w:asciiTheme="minorHAnsi" w:hAnsiTheme="minorHAnsi"/>
        </w:rPr>
      </w:pPr>
      <w:r w:rsidRPr="00E5441E">
        <w:rPr>
          <w:rFonts w:asciiTheme="minorHAnsi" w:hAnsiTheme="minorHAnsi"/>
        </w:rPr>
        <w:t xml:space="preserve">Due to the large number of </w:t>
      </w:r>
      <w:r w:rsidRPr="00133992">
        <w:rPr>
          <w:rFonts w:asciiTheme="minorHAnsi" w:hAnsiTheme="minorHAnsi"/>
        </w:rPr>
        <w:t>pilot applications a total</w:t>
      </w:r>
      <w:r w:rsidRPr="00E5441E">
        <w:rPr>
          <w:rFonts w:asciiTheme="minorHAnsi" w:hAnsiTheme="minorHAnsi"/>
        </w:rPr>
        <w:t xml:space="preserve"> of ten have been accepted for 2018-19 with further applicat</w:t>
      </w:r>
      <w:r w:rsidR="00EE5AF8">
        <w:rPr>
          <w:rFonts w:asciiTheme="minorHAnsi" w:hAnsiTheme="minorHAnsi"/>
        </w:rPr>
        <w:t>ions expected for 2019-20 (</w:t>
      </w:r>
      <w:r w:rsidRPr="00E5441E">
        <w:rPr>
          <w:rFonts w:asciiTheme="minorHAnsi" w:hAnsiTheme="minorHAnsi"/>
        </w:rPr>
        <w:t xml:space="preserve">details </w:t>
      </w:r>
      <w:r w:rsidR="00EE5AF8">
        <w:rPr>
          <w:rFonts w:asciiTheme="minorHAnsi" w:hAnsiTheme="minorHAnsi"/>
        </w:rPr>
        <w:t>on the process and timeline are yet to be determined</w:t>
      </w:r>
      <w:r w:rsidRPr="00E5441E">
        <w:rPr>
          <w:rFonts w:asciiTheme="minorHAnsi" w:hAnsiTheme="minorHAnsi"/>
        </w:rPr>
        <w:t>). Of these ten, eight are SCT members with</w:t>
      </w:r>
      <w:r w:rsidR="00633D67">
        <w:rPr>
          <w:rFonts w:asciiTheme="minorHAnsi" w:hAnsiTheme="minorHAnsi"/>
        </w:rPr>
        <w:t xml:space="preserve"> Mr</w:t>
      </w:r>
      <w:r w:rsidRPr="00E5441E">
        <w:rPr>
          <w:rFonts w:asciiTheme="minorHAnsi" w:hAnsiTheme="minorHAnsi"/>
        </w:rPr>
        <w:t xml:space="preserve"> </w:t>
      </w:r>
      <w:proofErr w:type="spellStart"/>
      <w:r w:rsidRPr="00E5441E">
        <w:rPr>
          <w:rFonts w:asciiTheme="minorHAnsi" w:hAnsiTheme="minorHAnsi"/>
        </w:rPr>
        <w:t>Javid</w:t>
      </w:r>
      <w:proofErr w:type="spellEnd"/>
      <w:r w:rsidRPr="00E5441E">
        <w:rPr>
          <w:rFonts w:asciiTheme="minorHAnsi" w:hAnsiTheme="minorHAnsi"/>
        </w:rPr>
        <w:t xml:space="preserve"> recognising that existing pilots have focused predominantly on urban areas. Today’s announcement confirms the</w:t>
      </w:r>
      <w:r w:rsidR="001F0D09">
        <w:rPr>
          <w:rFonts w:asciiTheme="minorHAnsi" w:hAnsiTheme="minorHAnsi"/>
        </w:rPr>
        <w:t xml:space="preserve"> following successful pilots in</w:t>
      </w:r>
      <w:r w:rsidRPr="00E5441E">
        <w:rPr>
          <w:rFonts w:asciiTheme="minorHAnsi" w:hAnsiTheme="minorHAnsi"/>
        </w:rPr>
        <w:t>:</w:t>
      </w:r>
    </w:p>
    <w:p w:rsidR="00112981" w:rsidRPr="00E5441E" w:rsidRDefault="00112981" w:rsidP="00E5441E">
      <w:pPr>
        <w:rPr>
          <w:rFonts w:asciiTheme="minorHAnsi" w:hAnsiTheme="minorHAnsi"/>
        </w:rPr>
      </w:pPr>
    </w:p>
    <w:p w:rsidR="00E5441E" w:rsidRPr="00E5441E" w:rsidRDefault="00E5441E" w:rsidP="00E5441E">
      <w:pPr>
        <w:pStyle w:val="ListParagraph"/>
        <w:numPr>
          <w:ilvl w:val="0"/>
          <w:numId w:val="11"/>
        </w:numPr>
        <w:spacing w:after="200" w:line="276" w:lineRule="auto"/>
        <w:contextualSpacing/>
        <w:rPr>
          <w:rFonts w:asciiTheme="minorHAnsi" w:hAnsiTheme="minorHAnsi"/>
          <w:sz w:val="24"/>
          <w:szCs w:val="24"/>
        </w:rPr>
      </w:pPr>
      <w:r w:rsidRPr="00E5441E">
        <w:rPr>
          <w:rFonts w:asciiTheme="minorHAnsi" w:hAnsiTheme="minorHAnsi"/>
          <w:sz w:val="24"/>
          <w:szCs w:val="24"/>
        </w:rPr>
        <w:t>Berkshire</w:t>
      </w:r>
    </w:p>
    <w:p w:rsidR="00E5441E" w:rsidRPr="00E5441E" w:rsidRDefault="00E5441E" w:rsidP="00E5441E">
      <w:pPr>
        <w:pStyle w:val="ListParagraph"/>
        <w:numPr>
          <w:ilvl w:val="0"/>
          <w:numId w:val="11"/>
        </w:numPr>
        <w:spacing w:after="200" w:line="276" w:lineRule="auto"/>
        <w:contextualSpacing/>
        <w:rPr>
          <w:rFonts w:asciiTheme="minorHAnsi" w:hAnsiTheme="minorHAnsi"/>
          <w:sz w:val="24"/>
          <w:szCs w:val="24"/>
        </w:rPr>
      </w:pPr>
      <w:r w:rsidRPr="00E5441E">
        <w:rPr>
          <w:rFonts w:asciiTheme="minorHAnsi" w:hAnsiTheme="minorHAnsi"/>
          <w:sz w:val="24"/>
          <w:szCs w:val="24"/>
        </w:rPr>
        <w:t>Derbyshire</w:t>
      </w:r>
    </w:p>
    <w:p w:rsidR="00E5441E" w:rsidRPr="00E5441E" w:rsidRDefault="00E5441E" w:rsidP="00E5441E">
      <w:pPr>
        <w:pStyle w:val="ListParagraph"/>
        <w:numPr>
          <w:ilvl w:val="0"/>
          <w:numId w:val="11"/>
        </w:numPr>
        <w:spacing w:after="200" w:line="276" w:lineRule="auto"/>
        <w:contextualSpacing/>
        <w:rPr>
          <w:rFonts w:asciiTheme="minorHAnsi" w:hAnsiTheme="minorHAnsi"/>
          <w:sz w:val="24"/>
          <w:szCs w:val="24"/>
        </w:rPr>
      </w:pPr>
      <w:r w:rsidRPr="00E5441E">
        <w:rPr>
          <w:rFonts w:asciiTheme="minorHAnsi" w:hAnsiTheme="minorHAnsi"/>
          <w:sz w:val="24"/>
          <w:szCs w:val="24"/>
        </w:rPr>
        <w:t>Devon</w:t>
      </w:r>
    </w:p>
    <w:p w:rsidR="00E5441E" w:rsidRPr="00E5441E" w:rsidRDefault="00E5441E" w:rsidP="00E5441E">
      <w:pPr>
        <w:pStyle w:val="ListParagraph"/>
        <w:numPr>
          <w:ilvl w:val="0"/>
          <w:numId w:val="11"/>
        </w:numPr>
        <w:spacing w:after="200" w:line="276" w:lineRule="auto"/>
        <w:contextualSpacing/>
        <w:rPr>
          <w:rFonts w:asciiTheme="minorHAnsi" w:hAnsiTheme="minorHAnsi"/>
          <w:sz w:val="24"/>
          <w:szCs w:val="24"/>
        </w:rPr>
      </w:pPr>
      <w:r w:rsidRPr="00E5441E">
        <w:rPr>
          <w:rFonts w:asciiTheme="minorHAnsi" w:hAnsiTheme="minorHAnsi"/>
          <w:sz w:val="24"/>
          <w:szCs w:val="24"/>
        </w:rPr>
        <w:t>Gloucestershire</w:t>
      </w:r>
    </w:p>
    <w:p w:rsidR="00E5441E" w:rsidRPr="00E5441E" w:rsidRDefault="00E5441E" w:rsidP="00E5441E">
      <w:pPr>
        <w:pStyle w:val="ListParagraph"/>
        <w:numPr>
          <w:ilvl w:val="0"/>
          <w:numId w:val="11"/>
        </w:numPr>
        <w:spacing w:after="200" w:line="276" w:lineRule="auto"/>
        <w:contextualSpacing/>
        <w:rPr>
          <w:rFonts w:asciiTheme="minorHAnsi" w:hAnsiTheme="minorHAnsi"/>
          <w:sz w:val="24"/>
          <w:szCs w:val="24"/>
        </w:rPr>
      </w:pPr>
      <w:r w:rsidRPr="00E5441E">
        <w:rPr>
          <w:rFonts w:asciiTheme="minorHAnsi" w:hAnsiTheme="minorHAnsi"/>
          <w:sz w:val="24"/>
          <w:szCs w:val="24"/>
        </w:rPr>
        <w:t>Kent and Medway</w:t>
      </w:r>
    </w:p>
    <w:p w:rsidR="00E5441E" w:rsidRPr="00E5441E" w:rsidRDefault="00E5441E" w:rsidP="00E5441E">
      <w:pPr>
        <w:pStyle w:val="ListParagraph"/>
        <w:numPr>
          <w:ilvl w:val="0"/>
          <w:numId w:val="11"/>
        </w:numPr>
        <w:spacing w:after="200" w:line="276" w:lineRule="auto"/>
        <w:contextualSpacing/>
        <w:rPr>
          <w:rFonts w:asciiTheme="minorHAnsi" w:hAnsiTheme="minorHAnsi"/>
          <w:sz w:val="24"/>
          <w:szCs w:val="24"/>
        </w:rPr>
      </w:pPr>
      <w:r w:rsidRPr="00E5441E">
        <w:rPr>
          <w:rFonts w:asciiTheme="minorHAnsi" w:hAnsiTheme="minorHAnsi"/>
          <w:sz w:val="24"/>
          <w:szCs w:val="24"/>
        </w:rPr>
        <w:t>Leeds</w:t>
      </w:r>
    </w:p>
    <w:p w:rsidR="00E5441E" w:rsidRPr="00E5441E" w:rsidRDefault="00E5441E" w:rsidP="00E5441E">
      <w:pPr>
        <w:pStyle w:val="ListParagraph"/>
        <w:numPr>
          <w:ilvl w:val="0"/>
          <w:numId w:val="11"/>
        </w:numPr>
        <w:spacing w:after="200" w:line="276" w:lineRule="auto"/>
        <w:contextualSpacing/>
        <w:rPr>
          <w:rFonts w:asciiTheme="minorHAnsi" w:hAnsiTheme="minorHAnsi"/>
          <w:sz w:val="24"/>
          <w:szCs w:val="24"/>
        </w:rPr>
      </w:pPr>
      <w:r w:rsidRPr="00E5441E">
        <w:rPr>
          <w:rFonts w:asciiTheme="minorHAnsi" w:hAnsiTheme="minorHAnsi"/>
          <w:sz w:val="24"/>
          <w:szCs w:val="24"/>
        </w:rPr>
        <w:t>Lincolnshire</w:t>
      </w:r>
    </w:p>
    <w:p w:rsidR="00E5441E" w:rsidRPr="00E5441E" w:rsidRDefault="00E5441E" w:rsidP="00E5441E">
      <w:pPr>
        <w:pStyle w:val="ListParagraph"/>
        <w:numPr>
          <w:ilvl w:val="0"/>
          <w:numId w:val="11"/>
        </w:numPr>
        <w:spacing w:after="200" w:line="276" w:lineRule="auto"/>
        <w:contextualSpacing/>
        <w:rPr>
          <w:rFonts w:asciiTheme="minorHAnsi" w:hAnsiTheme="minorHAnsi"/>
          <w:sz w:val="24"/>
          <w:szCs w:val="24"/>
        </w:rPr>
      </w:pPr>
      <w:r w:rsidRPr="00E5441E">
        <w:rPr>
          <w:rFonts w:asciiTheme="minorHAnsi" w:hAnsiTheme="minorHAnsi"/>
          <w:sz w:val="24"/>
          <w:szCs w:val="24"/>
        </w:rPr>
        <w:t>Solent</w:t>
      </w:r>
    </w:p>
    <w:p w:rsidR="00E5441E" w:rsidRPr="00E5441E" w:rsidRDefault="00E5441E" w:rsidP="00E5441E">
      <w:pPr>
        <w:pStyle w:val="ListParagraph"/>
        <w:numPr>
          <w:ilvl w:val="0"/>
          <w:numId w:val="11"/>
        </w:numPr>
        <w:spacing w:after="200" w:line="276" w:lineRule="auto"/>
        <w:contextualSpacing/>
        <w:rPr>
          <w:rFonts w:asciiTheme="minorHAnsi" w:hAnsiTheme="minorHAnsi"/>
          <w:sz w:val="24"/>
          <w:szCs w:val="24"/>
        </w:rPr>
      </w:pPr>
      <w:r w:rsidRPr="00E5441E">
        <w:rPr>
          <w:rFonts w:asciiTheme="minorHAnsi" w:hAnsiTheme="minorHAnsi"/>
          <w:sz w:val="24"/>
          <w:szCs w:val="24"/>
        </w:rPr>
        <w:t>Suffolk</w:t>
      </w:r>
    </w:p>
    <w:p w:rsidR="00E5441E" w:rsidRPr="00E5441E" w:rsidRDefault="00E5441E" w:rsidP="00E5441E">
      <w:pPr>
        <w:pStyle w:val="ListParagraph"/>
        <w:numPr>
          <w:ilvl w:val="0"/>
          <w:numId w:val="11"/>
        </w:numPr>
        <w:spacing w:after="200" w:line="276" w:lineRule="auto"/>
        <w:contextualSpacing/>
        <w:rPr>
          <w:rFonts w:asciiTheme="minorHAnsi" w:hAnsiTheme="minorHAnsi"/>
          <w:sz w:val="24"/>
          <w:szCs w:val="24"/>
        </w:rPr>
      </w:pPr>
      <w:r w:rsidRPr="00E5441E">
        <w:rPr>
          <w:rFonts w:asciiTheme="minorHAnsi" w:hAnsiTheme="minorHAnsi"/>
          <w:sz w:val="24"/>
          <w:szCs w:val="24"/>
        </w:rPr>
        <w:t>Surrey</w:t>
      </w:r>
    </w:p>
    <w:p w:rsidR="00E5441E" w:rsidRPr="00E5441E" w:rsidRDefault="00E5441E" w:rsidP="00E5441E">
      <w:pPr>
        <w:rPr>
          <w:rFonts w:asciiTheme="minorHAnsi" w:hAnsiTheme="minorHAnsi"/>
        </w:rPr>
      </w:pPr>
      <w:r w:rsidRPr="00E5441E">
        <w:rPr>
          <w:rFonts w:asciiTheme="minorHAnsi" w:hAnsiTheme="minorHAnsi"/>
        </w:rPr>
        <w:t xml:space="preserve">At least three DCLG officials independently scored each pilot based on the application criteria originally set out. This in combination with ministerial judgement (which included the need for more rural pilots) and Treasury cost limits, lead to aforementioned decision. </w:t>
      </w:r>
    </w:p>
    <w:p w:rsidR="00DC7D57" w:rsidRPr="00E5441E" w:rsidRDefault="00DC7D57" w:rsidP="00066949">
      <w:pPr>
        <w:jc w:val="both"/>
        <w:rPr>
          <w:rFonts w:asciiTheme="minorHAnsi" w:hAnsiTheme="minorHAnsi" w:cs="Arial"/>
        </w:rPr>
      </w:pPr>
    </w:p>
    <w:p w:rsidR="00176086" w:rsidRPr="00E5441E" w:rsidRDefault="00BC786E" w:rsidP="00066949">
      <w:pPr>
        <w:jc w:val="both"/>
        <w:rPr>
          <w:rFonts w:asciiTheme="minorHAnsi" w:hAnsiTheme="minorHAnsi" w:cs="Arial"/>
        </w:rPr>
      </w:pPr>
      <w:r w:rsidRPr="00E5441E">
        <w:rPr>
          <w:rFonts w:asciiTheme="minorHAnsi" w:hAnsiTheme="minorHAnsi" w:cs="Arial"/>
        </w:rPr>
        <w:t xml:space="preserve">The Technical Support Team will shortly be issuing the SCT budget survey which will ask for more detail on the pilot bids. </w:t>
      </w:r>
    </w:p>
    <w:p w:rsidR="0013745B" w:rsidRDefault="0013745B" w:rsidP="00066949">
      <w:pPr>
        <w:pStyle w:val="Default"/>
        <w:jc w:val="both"/>
        <w:rPr>
          <w:rFonts w:ascii="Calibri" w:hAnsi="Calibri" w:cs="Tahoma"/>
          <w:highlight w:val="cyan"/>
        </w:rPr>
      </w:pPr>
    </w:p>
    <w:p w:rsidR="002347E8" w:rsidRPr="00B16121" w:rsidRDefault="00B16121" w:rsidP="00066949">
      <w:pPr>
        <w:jc w:val="both"/>
        <w:rPr>
          <w:rFonts w:ascii="Calibri" w:hAnsi="Calibri" w:cs="Arial"/>
          <w:b/>
        </w:rPr>
      </w:pPr>
      <w:r>
        <w:rPr>
          <w:rFonts w:ascii="Calibri" w:hAnsi="Calibri" w:cs="Arial"/>
          <w:b/>
        </w:rPr>
        <w:t>T</w:t>
      </w:r>
      <w:r w:rsidR="0013745B">
        <w:rPr>
          <w:rFonts w:ascii="Calibri" w:hAnsi="Calibri" w:cs="Arial"/>
          <w:b/>
        </w:rPr>
        <w:t>ransition Grant</w:t>
      </w:r>
    </w:p>
    <w:p w:rsidR="00B16121" w:rsidRPr="00B16121" w:rsidRDefault="00B16121" w:rsidP="00B16121">
      <w:pPr>
        <w:jc w:val="both"/>
        <w:rPr>
          <w:rFonts w:ascii="Calibri" w:hAnsi="Calibri" w:cs="Arial"/>
        </w:rPr>
      </w:pPr>
      <w:r w:rsidRPr="00B16121">
        <w:rPr>
          <w:rFonts w:ascii="Calibri" w:hAnsi="Calibri" w:cs="Arial"/>
        </w:rPr>
        <w:t>Prior to 2016-17 changes to RSG were carried out by comparing the current year’s RSG a</w:t>
      </w:r>
      <w:r>
        <w:rPr>
          <w:rFonts w:ascii="Calibri" w:hAnsi="Calibri" w:cs="Arial"/>
        </w:rPr>
        <w:t>llocation to the previous year</w:t>
      </w:r>
      <w:r w:rsidRPr="00B16121">
        <w:rPr>
          <w:rFonts w:ascii="Calibri" w:hAnsi="Calibri" w:cs="Arial"/>
        </w:rPr>
        <w:t>. Each local authority therefore received the same flat rate reduction.</w:t>
      </w:r>
    </w:p>
    <w:p w:rsidR="00B16121" w:rsidRDefault="00B16121" w:rsidP="00066949">
      <w:pPr>
        <w:jc w:val="both"/>
        <w:rPr>
          <w:rFonts w:ascii="Calibri" w:hAnsi="Calibri" w:cs="Arial"/>
        </w:rPr>
      </w:pPr>
    </w:p>
    <w:p w:rsidR="001F0D09" w:rsidRDefault="00B16121" w:rsidP="00B16121">
      <w:pPr>
        <w:jc w:val="both"/>
        <w:rPr>
          <w:rFonts w:ascii="Calibri" w:hAnsi="Calibri" w:cs="Arial"/>
        </w:rPr>
      </w:pPr>
      <w:r w:rsidRPr="00B16121">
        <w:rPr>
          <w:rFonts w:ascii="Calibri" w:hAnsi="Calibri" w:cs="Arial"/>
        </w:rPr>
        <w:t>The 2016-17 provisional settlement was the first year in which the DCLG took actual precept into account when applying the cuts to core funding. This seriously impacted SCT members and prompted the SCT to call for transitional arrangements. The final 16-17 settlement announced additional funding worth £150m in both 2016-17 and 2017-18 “for councils with the sharpest reductions in Revenue Support Grant”. Of the £150m national total available in 2017-18 SCT members received £110m in Transition Grant.</w:t>
      </w:r>
      <w:r w:rsidR="00133992">
        <w:rPr>
          <w:rFonts w:ascii="Calibri" w:hAnsi="Calibri" w:cs="Arial"/>
        </w:rPr>
        <w:t xml:space="preserve"> </w:t>
      </w:r>
    </w:p>
    <w:p w:rsidR="001F0D09" w:rsidRDefault="001F0D09" w:rsidP="00B16121">
      <w:pPr>
        <w:jc w:val="both"/>
        <w:rPr>
          <w:rFonts w:ascii="Calibri" w:hAnsi="Calibri" w:cs="Arial"/>
        </w:rPr>
      </w:pPr>
    </w:p>
    <w:p w:rsidR="00133992" w:rsidRDefault="00133992" w:rsidP="00B16121">
      <w:pPr>
        <w:jc w:val="both"/>
        <w:rPr>
          <w:rFonts w:ascii="Calibri" w:hAnsi="Calibri" w:cs="Arial"/>
        </w:rPr>
      </w:pPr>
      <w:r>
        <w:rPr>
          <w:rFonts w:ascii="Calibri" w:hAnsi="Calibri" w:cs="Arial"/>
        </w:rPr>
        <w:t xml:space="preserve">No further transitional funding was announced for 2018-19. </w:t>
      </w:r>
    </w:p>
    <w:p w:rsidR="00B16121" w:rsidRPr="00B16121" w:rsidRDefault="00B16121" w:rsidP="00066949">
      <w:pPr>
        <w:jc w:val="both"/>
        <w:rPr>
          <w:rFonts w:ascii="Calibri" w:hAnsi="Calibri" w:cs="Arial"/>
          <w:b/>
        </w:rPr>
      </w:pPr>
    </w:p>
    <w:p w:rsidR="0013745B" w:rsidRPr="00145513" w:rsidRDefault="0013745B" w:rsidP="0013745B">
      <w:pPr>
        <w:pStyle w:val="ListParagraph"/>
        <w:ind w:left="0"/>
        <w:contextualSpacing/>
        <w:rPr>
          <w:rFonts w:eastAsia="Times New Roman" w:cs="Arial"/>
          <w:b/>
          <w:sz w:val="24"/>
          <w:szCs w:val="24"/>
        </w:rPr>
      </w:pPr>
      <w:r w:rsidRPr="00145513">
        <w:rPr>
          <w:rFonts w:eastAsia="Times New Roman" w:cs="Arial"/>
          <w:b/>
          <w:sz w:val="24"/>
          <w:szCs w:val="24"/>
        </w:rPr>
        <w:t>Four-Year Settlement Offer</w:t>
      </w:r>
    </w:p>
    <w:p w:rsidR="0013745B" w:rsidRPr="00145513" w:rsidRDefault="0013745B" w:rsidP="0013745B">
      <w:pPr>
        <w:jc w:val="both"/>
        <w:rPr>
          <w:rFonts w:ascii="Calibri" w:hAnsi="Calibri" w:cs="Arial"/>
          <w:color w:val="0B0C0C"/>
          <w:shd w:val="clear" w:color="auto" w:fill="FFFFFF"/>
        </w:rPr>
      </w:pPr>
      <w:r w:rsidRPr="00145513">
        <w:rPr>
          <w:rFonts w:ascii="Calibri" w:hAnsi="Calibri" w:cs="Arial"/>
          <w:color w:val="0B0C0C"/>
          <w:shd w:val="clear" w:color="auto" w:fill="FFFFFF"/>
        </w:rPr>
        <w:t>The</w:t>
      </w:r>
      <w:r>
        <w:rPr>
          <w:rFonts w:ascii="Calibri" w:hAnsi="Calibri" w:cs="Arial"/>
          <w:color w:val="0B0C0C"/>
          <w:shd w:val="clear" w:color="auto" w:fill="FFFFFF"/>
        </w:rPr>
        <w:t xml:space="preserve"> 2016-17 settlement included a 4</w:t>
      </w:r>
      <w:r w:rsidRPr="00145513">
        <w:rPr>
          <w:rFonts w:ascii="Calibri" w:hAnsi="Calibri" w:cs="Arial"/>
          <w:color w:val="0B0C0C"/>
          <w:shd w:val="clear" w:color="auto" w:fill="FFFFFF"/>
        </w:rPr>
        <w:t xml:space="preserve"> year offer of ‘a guaranteed budget to every council which desires one and which can demonstrate efficiency savings’. </w:t>
      </w:r>
    </w:p>
    <w:p w:rsidR="0013745B" w:rsidRPr="00145513" w:rsidRDefault="0013745B" w:rsidP="0013745B">
      <w:pPr>
        <w:jc w:val="both"/>
        <w:rPr>
          <w:rFonts w:ascii="Calibri" w:hAnsi="Calibri" w:cs="Arial"/>
          <w:color w:val="0B0C0C"/>
          <w:shd w:val="clear" w:color="auto" w:fill="FFFFFF"/>
        </w:rPr>
      </w:pPr>
    </w:p>
    <w:p w:rsidR="0013745B" w:rsidRDefault="0013745B" w:rsidP="0013745B">
      <w:pPr>
        <w:jc w:val="both"/>
        <w:rPr>
          <w:rFonts w:ascii="Calibri" w:hAnsi="Calibri" w:cs="Arial"/>
          <w:color w:val="0B0C0C"/>
          <w:shd w:val="clear" w:color="auto" w:fill="FFFFFF"/>
        </w:rPr>
      </w:pPr>
      <w:r>
        <w:rPr>
          <w:rFonts w:ascii="Calibri" w:hAnsi="Calibri" w:cs="Arial"/>
          <w:color w:val="0B0C0C"/>
          <w:shd w:val="clear" w:color="auto" w:fill="FFFFFF"/>
        </w:rPr>
        <w:lastRenderedPageBreak/>
        <w:t>The 4</w:t>
      </w:r>
      <w:r w:rsidRPr="00145513">
        <w:rPr>
          <w:rFonts w:ascii="Calibri" w:hAnsi="Calibri" w:cs="Arial"/>
          <w:color w:val="0B0C0C"/>
          <w:shd w:val="clear" w:color="auto" w:fill="FFFFFF"/>
        </w:rPr>
        <w:t xml:space="preserve"> year offer include</w:t>
      </w:r>
      <w:r>
        <w:rPr>
          <w:rFonts w:ascii="Calibri" w:hAnsi="Calibri" w:cs="Arial"/>
          <w:color w:val="0B0C0C"/>
          <w:shd w:val="clear" w:color="auto" w:fill="FFFFFF"/>
        </w:rPr>
        <w:t>d</w:t>
      </w:r>
      <w:r w:rsidRPr="00145513">
        <w:rPr>
          <w:rFonts w:ascii="Calibri" w:hAnsi="Calibri" w:cs="Arial"/>
          <w:color w:val="0B0C0C"/>
          <w:shd w:val="clear" w:color="auto" w:fill="FFFFFF"/>
        </w:rPr>
        <w:t xml:space="preserve"> RSG, Transitional Grant</w:t>
      </w:r>
      <w:r>
        <w:rPr>
          <w:rFonts w:ascii="Calibri" w:hAnsi="Calibri" w:cs="Arial"/>
          <w:color w:val="0B0C0C"/>
          <w:shd w:val="clear" w:color="auto" w:fill="FFFFFF"/>
        </w:rPr>
        <w:t xml:space="preserve"> (2016-17 and 2017-18),</w:t>
      </w:r>
      <w:r w:rsidRPr="00145513">
        <w:rPr>
          <w:rFonts w:ascii="Calibri" w:hAnsi="Calibri" w:cs="Arial"/>
          <w:color w:val="0B0C0C"/>
          <w:shd w:val="clear" w:color="auto" w:fill="FFFFFF"/>
        </w:rPr>
        <w:t xml:space="preserve"> and the Rural Services Delivery Grant. </w:t>
      </w:r>
      <w:r>
        <w:rPr>
          <w:rFonts w:ascii="Calibri" w:hAnsi="Calibri" w:cs="Arial"/>
          <w:color w:val="0B0C0C"/>
          <w:shd w:val="clear" w:color="auto" w:fill="FFFFFF"/>
        </w:rPr>
        <w:t>B</w:t>
      </w:r>
      <w:r w:rsidRPr="00145513">
        <w:rPr>
          <w:rFonts w:ascii="Calibri" w:hAnsi="Calibri" w:cs="Arial"/>
          <w:color w:val="0B0C0C"/>
          <w:shd w:val="clear" w:color="auto" w:fill="FFFFFF"/>
        </w:rPr>
        <w:t xml:space="preserve">aseline funding level </w:t>
      </w:r>
      <w:r w:rsidR="009C7BDC">
        <w:rPr>
          <w:rFonts w:ascii="Calibri" w:hAnsi="Calibri" w:cs="Arial"/>
          <w:color w:val="0B0C0C"/>
          <w:shd w:val="clear" w:color="auto" w:fill="FFFFFF"/>
        </w:rPr>
        <w:t>is</w:t>
      </w:r>
      <w:r w:rsidRPr="00145513">
        <w:rPr>
          <w:rFonts w:ascii="Calibri" w:hAnsi="Calibri" w:cs="Arial"/>
          <w:color w:val="0B0C0C"/>
          <w:shd w:val="clear" w:color="auto" w:fill="FFFFFF"/>
        </w:rPr>
        <w:t xml:space="preserve"> be dependent o</w:t>
      </w:r>
      <w:r>
        <w:rPr>
          <w:rFonts w:ascii="Calibri" w:hAnsi="Calibri" w:cs="Arial"/>
          <w:color w:val="0B0C0C"/>
          <w:shd w:val="clear" w:color="auto" w:fill="FFFFFF"/>
        </w:rPr>
        <w:t xml:space="preserve">n the business rates multiplier so was not included in the 4 year offer. </w:t>
      </w:r>
    </w:p>
    <w:p w:rsidR="0013745B" w:rsidRDefault="0013745B" w:rsidP="0013745B">
      <w:pPr>
        <w:jc w:val="both"/>
        <w:rPr>
          <w:rFonts w:ascii="Calibri" w:hAnsi="Calibri" w:cs="Arial"/>
          <w:color w:val="0B0C0C"/>
          <w:shd w:val="clear" w:color="auto" w:fill="FFFFFF"/>
        </w:rPr>
      </w:pPr>
    </w:p>
    <w:p w:rsidR="0013745B" w:rsidRDefault="0013745B" w:rsidP="0013745B">
      <w:pPr>
        <w:jc w:val="both"/>
        <w:rPr>
          <w:rFonts w:ascii="Calibri" w:hAnsi="Calibri" w:cs="Arial"/>
          <w:color w:val="0B0C0C"/>
          <w:shd w:val="clear" w:color="auto" w:fill="FFFFFF"/>
        </w:rPr>
      </w:pPr>
      <w:r>
        <w:rPr>
          <w:rFonts w:ascii="Calibri" w:hAnsi="Calibri" w:cs="Arial"/>
          <w:color w:val="0B0C0C"/>
          <w:shd w:val="clear" w:color="auto" w:fill="FFFFFF"/>
        </w:rPr>
        <w:t xml:space="preserve">Only 10 authorities decided against accepting the offer – two of which are SCT members. </w:t>
      </w:r>
    </w:p>
    <w:p w:rsidR="0013745B" w:rsidRPr="00145513" w:rsidRDefault="0013745B" w:rsidP="0013745B">
      <w:pPr>
        <w:jc w:val="both"/>
        <w:rPr>
          <w:rFonts w:ascii="Calibri" w:hAnsi="Calibri" w:cs="Arial"/>
          <w:color w:val="0B0C0C"/>
          <w:shd w:val="clear" w:color="auto" w:fill="FFFFFF"/>
        </w:rPr>
      </w:pPr>
    </w:p>
    <w:p w:rsidR="0013745B" w:rsidRPr="005E20B3" w:rsidRDefault="0013745B" w:rsidP="0013745B">
      <w:pPr>
        <w:jc w:val="both"/>
        <w:rPr>
          <w:rFonts w:ascii="Calibri" w:hAnsi="Calibri" w:cs="Arial"/>
          <w:color w:val="FF0000"/>
        </w:rPr>
      </w:pPr>
      <w:r w:rsidRPr="005E20B3">
        <w:rPr>
          <w:rFonts w:ascii="Calibri" w:hAnsi="Calibri" w:cs="Tahoma"/>
        </w:rPr>
        <w:t xml:space="preserve">The </w:t>
      </w:r>
      <w:r w:rsidRPr="00133992">
        <w:rPr>
          <w:rFonts w:ascii="Calibri" w:hAnsi="Calibri" w:cs="Tahoma"/>
        </w:rPr>
        <w:t>2017 Technical Consultation discussed ways in which the multi-year settlement offer could be expanded to include further grants but so far, no further announcements have been made.</w:t>
      </w:r>
    </w:p>
    <w:p w:rsidR="0013745B" w:rsidRDefault="0013745B" w:rsidP="00066949">
      <w:pPr>
        <w:jc w:val="both"/>
        <w:rPr>
          <w:rFonts w:ascii="Calibri" w:hAnsi="Calibri" w:cs="Arial"/>
          <w:b/>
        </w:rPr>
      </w:pPr>
    </w:p>
    <w:p w:rsidR="00066949" w:rsidRPr="00027659" w:rsidRDefault="00066949" w:rsidP="00066949">
      <w:pPr>
        <w:jc w:val="both"/>
        <w:rPr>
          <w:rFonts w:ascii="Calibri" w:hAnsi="Calibri" w:cs="Arial"/>
          <w:b/>
        </w:rPr>
      </w:pPr>
      <w:r w:rsidRPr="00027659">
        <w:rPr>
          <w:rFonts w:ascii="Calibri" w:hAnsi="Calibri" w:cs="Arial"/>
          <w:b/>
        </w:rPr>
        <w:t>Core Spending Power</w:t>
      </w:r>
    </w:p>
    <w:p w:rsidR="00066949" w:rsidRPr="00027659" w:rsidRDefault="00066949" w:rsidP="00066949">
      <w:pPr>
        <w:jc w:val="both"/>
        <w:rPr>
          <w:rFonts w:ascii="Calibri" w:hAnsi="Calibri" w:cs="Arial"/>
        </w:rPr>
      </w:pPr>
      <w:r w:rsidRPr="00027659">
        <w:rPr>
          <w:rFonts w:ascii="Calibri" w:hAnsi="Calibri" w:cs="Arial"/>
        </w:rPr>
        <w:t xml:space="preserve">The Minster confirmed Core Spending Power (CSP) figures today. </w:t>
      </w:r>
    </w:p>
    <w:p w:rsidR="00066949" w:rsidRPr="00027659" w:rsidRDefault="00066949" w:rsidP="00066949">
      <w:pPr>
        <w:jc w:val="both"/>
        <w:rPr>
          <w:rFonts w:ascii="Calibri" w:hAnsi="Calibri" w:cs="Arial"/>
        </w:rPr>
      </w:pPr>
    </w:p>
    <w:p w:rsidR="00066949" w:rsidRPr="00027659" w:rsidRDefault="00027659" w:rsidP="00066949">
      <w:pPr>
        <w:jc w:val="both"/>
        <w:rPr>
          <w:rFonts w:ascii="Calibri" w:hAnsi="Calibri" w:cs="Arial"/>
        </w:rPr>
      </w:pPr>
      <w:r w:rsidRPr="00027659">
        <w:rPr>
          <w:rFonts w:ascii="Calibri" w:hAnsi="Calibri" w:cs="Arial"/>
        </w:rPr>
        <w:t>For 2018-19</w:t>
      </w:r>
      <w:r w:rsidR="00066949" w:rsidRPr="00027659">
        <w:rPr>
          <w:rFonts w:ascii="Calibri" w:hAnsi="Calibri" w:cs="Arial"/>
        </w:rPr>
        <w:t xml:space="preserve"> Core Spending Power consists of:</w:t>
      </w:r>
    </w:p>
    <w:p w:rsidR="00066949" w:rsidRPr="00A47228" w:rsidRDefault="00066949" w:rsidP="00066949">
      <w:pPr>
        <w:jc w:val="both"/>
        <w:rPr>
          <w:rFonts w:ascii="Calibri" w:hAnsi="Calibri" w:cs="Arial"/>
          <w:highlight w:val="cyan"/>
        </w:rPr>
      </w:pPr>
    </w:p>
    <w:p w:rsidR="00066949" w:rsidRDefault="00066949" w:rsidP="00066949">
      <w:pPr>
        <w:pStyle w:val="ListParagraph"/>
        <w:numPr>
          <w:ilvl w:val="0"/>
          <w:numId w:val="4"/>
        </w:numPr>
        <w:jc w:val="both"/>
        <w:rPr>
          <w:rFonts w:cs="Arial"/>
          <w:sz w:val="24"/>
          <w:szCs w:val="24"/>
        </w:rPr>
      </w:pPr>
      <w:r w:rsidRPr="00027659">
        <w:rPr>
          <w:rFonts w:cs="Arial"/>
          <w:sz w:val="24"/>
          <w:szCs w:val="24"/>
        </w:rPr>
        <w:t>Settlement Funding Assessment</w:t>
      </w:r>
      <w:r w:rsidR="00027659">
        <w:rPr>
          <w:rFonts w:cs="Arial"/>
          <w:sz w:val="24"/>
          <w:szCs w:val="24"/>
        </w:rPr>
        <w:t xml:space="preserve"> (RSG</w:t>
      </w:r>
      <w:r w:rsidR="000862BE">
        <w:rPr>
          <w:rFonts w:cs="Arial"/>
          <w:sz w:val="24"/>
          <w:szCs w:val="24"/>
        </w:rPr>
        <w:t xml:space="preserve"> and Baseline Funding)</w:t>
      </w:r>
    </w:p>
    <w:p w:rsidR="004C569B" w:rsidRDefault="004C569B" w:rsidP="004C569B">
      <w:pPr>
        <w:pStyle w:val="ListParagraph"/>
        <w:numPr>
          <w:ilvl w:val="0"/>
          <w:numId w:val="4"/>
        </w:numPr>
        <w:jc w:val="both"/>
        <w:rPr>
          <w:rFonts w:cs="Arial"/>
          <w:sz w:val="24"/>
          <w:szCs w:val="24"/>
        </w:rPr>
      </w:pPr>
      <w:r>
        <w:rPr>
          <w:rFonts w:cs="Arial"/>
          <w:sz w:val="24"/>
          <w:szCs w:val="24"/>
        </w:rPr>
        <w:t>S31 compensation grant for changes in the uprating of the business rate multiplier from RPI to CPI</w:t>
      </w:r>
    </w:p>
    <w:p w:rsidR="00066949" w:rsidRPr="00027659" w:rsidRDefault="00066949" w:rsidP="00066949">
      <w:pPr>
        <w:pStyle w:val="ListParagraph"/>
        <w:numPr>
          <w:ilvl w:val="0"/>
          <w:numId w:val="4"/>
        </w:numPr>
        <w:jc w:val="both"/>
        <w:rPr>
          <w:rFonts w:cs="Arial"/>
          <w:sz w:val="24"/>
          <w:szCs w:val="24"/>
        </w:rPr>
      </w:pPr>
      <w:r w:rsidRPr="00027659">
        <w:rPr>
          <w:rFonts w:cs="Arial"/>
          <w:sz w:val="24"/>
          <w:szCs w:val="24"/>
        </w:rPr>
        <w:t>Council Tax (</w:t>
      </w:r>
      <w:r w:rsidRPr="00027659">
        <w:rPr>
          <w:sz w:val="24"/>
        </w:rPr>
        <w:t>the product of the maximum council tax precept that the LA can raise with an ASC precept of 2%)</w:t>
      </w:r>
    </w:p>
    <w:p w:rsidR="00066949" w:rsidRPr="00027659" w:rsidRDefault="00066949" w:rsidP="00066949">
      <w:pPr>
        <w:pStyle w:val="ListParagraph"/>
        <w:numPr>
          <w:ilvl w:val="0"/>
          <w:numId w:val="4"/>
        </w:numPr>
        <w:jc w:val="both"/>
        <w:rPr>
          <w:rFonts w:cs="Arial"/>
          <w:sz w:val="24"/>
          <w:szCs w:val="24"/>
        </w:rPr>
      </w:pPr>
      <w:r w:rsidRPr="00027659">
        <w:rPr>
          <w:rFonts w:cs="Arial"/>
          <w:sz w:val="24"/>
          <w:szCs w:val="24"/>
        </w:rPr>
        <w:t>Improved Better Care Fund</w:t>
      </w:r>
    </w:p>
    <w:p w:rsidR="00066949" w:rsidRPr="00027659" w:rsidRDefault="00066949" w:rsidP="00066949">
      <w:pPr>
        <w:pStyle w:val="ListParagraph"/>
        <w:numPr>
          <w:ilvl w:val="0"/>
          <w:numId w:val="4"/>
        </w:numPr>
        <w:jc w:val="both"/>
        <w:rPr>
          <w:rFonts w:cs="Arial"/>
          <w:sz w:val="24"/>
          <w:szCs w:val="24"/>
        </w:rPr>
      </w:pPr>
      <w:r w:rsidRPr="00027659">
        <w:rPr>
          <w:rFonts w:cs="Arial"/>
          <w:sz w:val="24"/>
          <w:szCs w:val="24"/>
        </w:rPr>
        <w:t>New Homes Bonus</w:t>
      </w:r>
      <w:r w:rsidR="004C569B">
        <w:rPr>
          <w:rFonts w:cs="Arial"/>
          <w:sz w:val="24"/>
          <w:szCs w:val="24"/>
        </w:rPr>
        <w:t xml:space="preserve"> (including returned funding)</w:t>
      </w:r>
    </w:p>
    <w:p w:rsidR="00066949" w:rsidRDefault="00066949" w:rsidP="00066949">
      <w:pPr>
        <w:pStyle w:val="ListParagraph"/>
        <w:numPr>
          <w:ilvl w:val="0"/>
          <w:numId w:val="4"/>
        </w:numPr>
        <w:jc w:val="both"/>
        <w:rPr>
          <w:rFonts w:cs="Arial"/>
          <w:sz w:val="24"/>
          <w:szCs w:val="24"/>
        </w:rPr>
      </w:pPr>
      <w:r w:rsidRPr="00027659">
        <w:rPr>
          <w:rFonts w:cs="Arial"/>
          <w:sz w:val="24"/>
          <w:szCs w:val="24"/>
        </w:rPr>
        <w:t>Rural Services Delivery Grant</w:t>
      </w:r>
    </w:p>
    <w:p w:rsidR="00F40586" w:rsidRPr="00A47228" w:rsidRDefault="00F40586" w:rsidP="00066949">
      <w:pPr>
        <w:jc w:val="both"/>
        <w:rPr>
          <w:rFonts w:ascii="Calibri" w:hAnsi="Calibri" w:cs="Arial"/>
          <w:highlight w:val="cyan"/>
        </w:rPr>
      </w:pPr>
    </w:p>
    <w:p w:rsidR="0009274D" w:rsidRDefault="00066949" w:rsidP="0009274D">
      <w:pPr>
        <w:jc w:val="both"/>
        <w:rPr>
          <w:rFonts w:ascii="Calibri" w:hAnsi="Calibri" w:cs="Arial"/>
        </w:rPr>
      </w:pPr>
      <w:r w:rsidRPr="000862BE">
        <w:rPr>
          <w:rFonts w:ascii="Calibri" w:hAnsi="Calibri" w:cs="Arial"/>
        </w:rPr>
        <w:t>The 201</w:t>
      </w:r>
      <w:r w:rsidR="000862BE" w:rsidRPr="000862BE">
        <w:rPr>
          <w:rFonts w:ascii="Calibri" w:hAnsi="Calibri" w:cs="Arial"/>
        </w:rPr>
        <w:t>8-19</w:t>
      </w:r>
      <w:r w:rsidRPr="000862BE">
        <w:rPr>
          <w:rFonts w:ascii="Calibri" w:hAnsi="Calibri" w:cs="Arial"/>
        </w:rPr>
        <w:t xml:space="preserve"> </w:t>
      </w:r>
      <w:r w:rsidR="000862BE">
        <w:rPr>
          <w:rFonts w:ascii="Calibri" w:hAnsi="Calibri" w:cs="Arial"/>
        </w:rPr>
        <w:t xml:space="preserve">provisional </w:t>
      </w:r>
      <w:r w:rsidRPr="000862BE">
        <w:rPr>
          <w:rFonts w:ascii="Calibri" w:hAnsi="Calibri" w:cs="Arial"/>
        </w:rPr>
        <w:t>settlement today announced</w:t>
      </w:r>
      <w:r w:rsidR="000354CB">
        <w:rPr>
          <w:rFonts w:ascii="Calibri" w:hAnsi="Calibri" w:cs="Arial"/>
        </w:rPr>
        <w:t xml:space="preserve"> 1.5% </w:t>
      </w:r>
      <w:r w:rsidRPr="000862BE">
        <w:rPr>
          <w:rFonts w:ascii="Calibri" w:hAnsi="Calibri" w:cs="Arial"/>
        </w:rPr>
        <w:t>increase</w:t>
      </w:r>
      <w:r w:rsidR="000862BE">
        <w:rPr>
          <w:rFonts w:ascii="Calibri" w:hAnsi="Calibri" w:cs="Arial"/>
        </w:rPr>
        <w:t xml:space="preserve"> nationally</w:t>
      </w:r>
      <w:r w:rsidRPr="000862BE">
        <w:rPr>
          <w:rFonts w:ascii="Calibri" w:hAnsi="Calibri" w:cs="Arial"/>
        </w:rPr>
        <w:t xml:space="preserve"> in the Core Spending Power </w:t>
      </w:r>
      <w:r w:rsidR="000862BE">
        <w:rPr>
          <w:rFonts w:ascii="Calibri" w:hAnsi="Calibri" w:cs="Arial"/>
        </w:rPr>
        <w:t>(CSP) compared to 2017-18 settlement</w:t>
      </w:r>
      <w:r w:rsidR="000354CB">
        <w:rPr>
          <w:rFonts w:ascii="Calibri" w:hAnsi="Calibri" w:cs="Arial"/>
        </w:rPr>
        <w:t xml:space="preserve"> published today</w:t>
      </w:r>
      <w:r w:rsidR="000862BE">
        <w:rPr>
          <w:rFonts w:ascii="Calibri" w:hAnsi="Calibri" w:cs="Arial"/>
        </w:rPr>
        <w:t xml:space="preserve">. SCT members have seen a </w:t>
      </w:r>
      <w:r w:rsidR="000354CB">
        <w:rPr>
          <w:rFonts w:ascii="Calibri" w:hAnsi="Calibri" w:cs="Arial"/>
        </w:rPr>
        <w:t>2.</w:t>
      </w:r>
      <w:r w:rsidR="005C746A">
        <w:rPr>
          <w:rFonts w:ascii="Calibri" w:hAnsi="Calibri" w:cs="Arial"/>
        </w:rPr>
        <w:t>2</w:t>
      </w:r>
      <w:r w:rsidR="000354CB">
        <w:rPr>
          <w:rFonts w:ascii="Calibri" w:hAnsi="Calibri" w:cs="Arial"/>
        </w:rPr>
        <w:t>% increase</w:t>
      </w:r>
      <w:r w:rsidR="000862BE">
        <w:rPr>
          <w:rFonts w:ascii="Calibri" w:hAnsi="Calibri" w:cs="Arial"/>
        </w:rPr>
        <w:t xml:space="preserve">. </w:t>
      </w:r>
    </w:p>
    <w:p w:rsidR="0009274D" w:rsidRPr="00112981" w:rsidRDefault="0009274D" w:rsidP="0009274D">
      <w:pPr>
        <w:jc w:val="both"/>
        <w:rPr>
          <w:rFonts w:ascii="Calibri" w:hAnsi="Calibri" w:cs="Arial"/>
          <w:i/>
        </w:rPr>
      </w:pPr>
      <w:r w:rsidRPr="00112981">
        <w:rPr>
          <w:rFonts w:ascii="Calibri" w:hAnsi="Calibri" w:cs="Arial"/>
          <w:i/>
        </w:rPr>
        <w:t>CAVEAT: this does not include the effects of pilot authorities forgoing their RSG and RSDG allocations. The TST will do further work on this in the coming days</w:t>
      </w:r>
    </w:p>
    <w:p w:rsidR="00066949" w:rsidRPr="000862BE" w:rsidRDefault="00066949" w:rsidP="00066949">
      <w:pPr>
        <w:jc w:val="both"/>
        <w:rPr>
          <w:rFonts w:ascii="Calibri" w:hAnsi="Calibri" w:cs="Arial"/>
        </w:rPr>
      </w:pPr>
    </w:p>
    <w:p w:rsidR="00066949" w:rsidRDefault="00066949" w:rsidP="00066949">
      <w:pPr>
        <w:jc w:val="both"/>
        <w:rPr>
          <w:rFonts w:ascii="Calibri" w:hAnsi="Calibri" w:cs="Arial"/>
        </w:rPr>
      </w:pPr>
      <w:r w:rsidRPr="000862BE">
        <w:rPr>
          <w:rFonts w:ascii="Calibri" w:hAnsi="Calibri" w:cs="Arial"/>
        </w:rPr>
        <w:t>A table by class of authority and SCT member can be foun</w:t>
      </w:r>
      <w:r w:rsidRPr="00112981">
        <w:rPr>
          <w:rFonts w:ascii="Calibri" w:hAnsi="Calibri" w:cs="Arial"/>
        </w:rPr>
        <w:t>d</w:t>
      </w:r>
      <w:r w:rsidR="000354CB" w:rsidRPr="00112981">
        <w:rPr>
          <w:rFonts w:ascii="Calibri" w:hAnsi="Calibri" w:cs="Arial"/>
        </w:rPr>
        <w:t xml:space="preserve"> </w:t>
      </w:r>
      <w:r w:rsidR="00112981">
        <w:rPr>
          <w:rFonts w:ascii="Calibri" w:hAnsi="Calibri" w:cs="Arial"/>
        </w:rPr>
        <w:t>below</w:t>
      </w:r>
      <w:r w:rsidR="000354CB">
        <w:rPr>
          <w:rFonts w:ascii="Calibri" w:hAnsi="Calibri" w:cs="Arial"/>
        </w:rPr>
        <w:t>.</w:t>
      </w:r>
      <w:r w:rsidRPr="000862BE">
        <w:rPr>
          <w:rFonts w:ascii="Calibri" w:hAnsi="Calibri" w:cs="Arial"/>
        </w:rPr>
        <w:t xml:space="preserve"> </w:t>
      </w:r>
    </w:p>
    <w:p w:rsidR="00112981" w:rsidRPr="000862BE" w:rsidRDefault="001509E6" w:rsidP="00066949">
      <w:pPr>
        <w:jc w:val="both"/>
        <w:rPr>
          <w:rFonts w:ascii="Calibri" w:hAnsi="Calibri" w:cs="Arial"/>
        </w:rPr>
      </w:pPr>
      <w:r>
        <w:rPr>
          <w:rFonts w:ascii="Calibri" w:hAnsi="Calibri" w:cs="Arial"/>
        </w:rPr>
        <w:object w:dxaOrig="1533" w:dyaOrig="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8.9pt" o:ole="">
            <v:imagedata r:id="rId15" o:title=""/>
          </v:shape>
          <o:OLEObject Type="Embed" ProgID="Excel.Sheet.12" ShapeID="_x0000_i1025" DrawAspect="Icon" ObjectID="_1575281424" r:id="rId16"/>
        </w:object>
      </w:r>
    </w:p>
    <w:p w:rsidR="00066949" w:rsidRPr="00A47228" w:rsidRDefault="00066949" w:rsidP="00066949">
      <w:pPr>
        <w:jc w:val="both"/>
        <w:rPr>
          <w:rFonts w:ascii="Calibri" w:hAnsi="Calibri" w:cs="Arial"/>
          <w:b/>
          <w:highlight w:val="cyan"/>
        </w:rPr>
      </w:pPr>
    </w:p>
    <w:p w:rsidR="00066949" w:rsidRPr="00703149" w:rsidRDefault="00066949" w:rsidP="00066949">
      <w:pPr>
        <w:jc w:val="both"/>
        <w:rPr>
          <w:rFonts w:ascii="Calibri" w:hAnsi="Calibri" w:cs="Arial"/>
          <w:b/>
        </w:rPr>
      </w:pPr>
      <w:r w:rsidRPr="00703149">
        <w:rPr>
          <w:rFonts w:ascii="Calibri" w:hAnsi="Calibri" w:cs="Arial"/>
          <w:b/>
        </w:rPr>
        <w:t>S</w:t>
      </w:r>
      <w:r w:rsidR="0013745B">
        <w:rPr>
          <w:rFonts w:ascii="Calibri" w:hAnsi="Calibri" w:cs="Arial"/>
          <w:b/>
        </w:rPr>
        <w:t xml:space="preserve">ettlement Funding </w:t>
      </w:r>
      <w:r w:rsidR="003D4F8B">
        <w:rPr>
          <w:rFonts w:ascii="Calibri" w:hAnsi="Calibri" w:cs="Arial"/>
          <w:b/>
        </w:rPr>
        <w:t>Assessment</w:t>
      </w:r>
    </w:p>
    <w:p w:rsidR="00066949" w:rsidRPr="0013745B" w:rsidRDefault="00066949" w:rsidP="00066949">
      <w:pPr>
        <w:jc w:val="both"/>
        <w:rPr>
          <w:rFonts w:ascii="Calibri" w:hAnsi="Calibri" w:cs="Arial"/>
          <w:b/>
          <w:i/>
        </w:rPr>
      </w:pPr>
      <w:r w:rsidRPr="0013745B">
        <w:rPr>
          <w:rFonts w:ascii="Calibri" w:hAnsi="Calibri" w:cs="Arial"/>
          <w:b/>
          <w:i/>
        </w:rPr>
        <w:t>Baseline Funding Level</w:t>
      </w:r>
      <w:r w:rsidR="00145513" w:rsidRPr="0013745B">
        <w:rPr>
          <w:rFonts w:ascii="Calibri" w:hAnsi="Calibri" w:cs="Arial"/>
          <w:b/>
          <w:i/>
        </w:rPr>
        <w:t xml:space="preserve"> and Tariff/Top-up Adjustments</w:t>
      </w:r>
    </w:p>
    <w:p w:rsidR="00236E05" w:rsidRDefault="00236E05" w:rsidP="00703149">
      <w:pPr>
        <w:jc w:val="both"/>
        <w:rPr>
          <w:rFonts w:ascii="Calibri" w:hAnsi="Calibri" w:cs="Arial"/>
        </w:rPr>
      </w:pPr>
      <w:r w:rsidRPr="00703149">
        <w:rPr>
          <w:rFonts w:ascii="Calibri" w:hAnsi="Calibri" w:cs="Arial"/>
        </w:rPr>
        <w:t>Baseline funding has been increased by the increase in the small business rates multiplier.</w:t>
      </w:r>
    </w:p>
    <w:p w:rsidR="00236E05" w:rsidRPr="00C961C3" w:rsidRDefault="00236E05" w:rsidP="000D17DB">
      <w:pPr>
        <w:jc w:val="both"/>
        <w:rPr>
          <w:rFonts w:ascii="Calibri" w:hAnsi="Calibri" w:cs="Arial"/>
          <w:i/>
        </w:rPr>
      </w:pPr>
      <w:r>
        <w:rPr>
          <w:rFonts w:ascii="Calibri" w:hAnsi="Calibri" w:cs="Arial"/>
        </w:rPr>
        <w:t xml:space="preserve">The Autumn Budget announced that in 2018-19 the small business rate multiplier would begin to be linked to CPI </w:t>
      </w:r>
      <w:r w:rsidRPr="00633D67">
        <w:rPr>
          <w:rFonts w:ascii="Calibri" w:hAnsi="Calibri" w:cs="Arial"/>
        </w:rPr>
        <w:t xml:space="preserve">rather than RPI. The 2018-19 small business rate multiplier (SBRM) is </w:t>
      </w:r>
      <w:r w:rsidR="000D17DB">
        <w:rPr>
          <w:rFonts w:ascii="Calibri" w:hAnsi="Calibri" w:cs="Arial"/>
        </w:rPr>
        <w:t xml:space="preserve">therefore </w:t>
      </w:r>
      <w:r w:rsidRPr="00633D67">
        <w:rPr>
          <w:rFonts w:ascii="Calibri" w:hAnsi="Calibri" w:cs="Arial"/>
        </w:rPr>
        <w:t xml:space="preserve">calculated as </w:t>
      </w:r>
      <w:r w:rsidRPr="00C961C3">
        <w:rPr>
          <w:rFonts w:ascii="Calibri" w:hAnsi="Calibri" w:cs="Arial"/>
          <w:i/>
        </w:rPr>
        <w:t>0.480.</w:t>
      </w:r>
    </w:p>
    <w:p w:rsidR="00236E05" w:rsidRDefault="00236E05" w:rsidP="00703149">
      <w:pPr>
        <w:jc w:val="both"/>
        <w:rPr>
          <w:rFonts w:ascii="Calibri" w:hAnsi="Calibri" w:cs="Arial"/>
        </w:rPr>
      </w:pPr>
    </w:p>
    <w:p w:rsidR="00236E05" w:rsidRDefault="00236E05" w:rsidP="00703149">
      <w:pPr>
        <w:jc w:val="both"/>
        <w:rPr>
          <w:rFonts w:ascii="Calibri" w:hAnsi="Calibri" w:cs="Arial"/>
        </w:rPr>
      </w:pPr>
      <w:r>
        <w:rPr>
          <w:rFonts w:ascii="Calibri" w:hAnsi="Calibri" w:cs="Arial"/>
        </w:rPr>
        <w:t xml:space="preserve">Had </w:t>
      </w:r>
      <w:r w:rsidR="00C961C3">
        <w:rPr>
          <w:rFonts w:ascii="Calibri" w:hAnsi="Calibri" w:cs="Arial"/>
        </w:rPr>
        <w:t xml:space="preserve">DCLG </w:t>
      </w:r>
      <w:r>
        <w:rPr>
          <w:rFonts w:ascii="Calibri" w:hAnsi="Calibri" w:cs="Arial"/>
        </w:rPr>
        <w:t xml:space="preserve">still been using RPI the </w:t>
      </w:r>
      <w:r w:rsidR="00C961C3">
        <w:rPr>
          <w:rFonts w:ascii="Calibri" w:hAnsi="Calibri" w:cs="Arial"/>
        </w:rPr>
        <w:t xml:space="preserve">respective </w:t>
      </w:r>
      <w:r>
        <w:rPr>
          <w:rFonts w:ascii="Calibri" w:hAnsi="Calibri" w:cs="Arial"/>
        </w:rPr>
        <w:t>indices w</w:t>
      </w:r>
      <w:r w:rsidR="00C961C3">
        <w:rPr>
          <w:rFonts w:ascii="Calibri" w:hAnsi="Calibri" w:cs="Arial"/>
        </w:rPr>
        <w:t xml:space="preserve">ould have been </w:t>
      </w:r>
      <w:r>
        <w:rPr>
          <w:rFonts w:ascii="Calibri" w:hAnsi="Calibri" w:cs="Arial"/>
        </w:rPr>
        <w:t>275.1 and 264.9 giving an increase of 3.9%</w:t>
      </w:r>
      <w:proofErr w:type="gramStart"/>
      <w:r>
        <w:rPr>
          <w:rFonts w:ascii="Calibri" w:hAnsi="Calibri" w:cs="Arial"/>
        </w:rPr>
        <w:t>.</w:t>
      </w:r>
      <w:proofErr w:type="gramEnd"/>
      <w:r>
        <w:rPr>
          <w:rFonts w:ascii="Calibri" w:hAnsi="Calibri" w:cs="Arial"/>
        </w:rPr>
        <w:t xml:space="preserve"> Local authorities </w:t>
      </w:r>
      <w:r w:rsidR="00317438">
        <w:rPr>
          <w:rFonts w:ascii="Calibri" w:hAnsi="Calibri" w:cs="Arial"/>
        </w:rPr>
        <w:t>have</w:t>
      </w:r>
      <w:r>
        <w:rPr>
          <w:rFonts w:ascii="Calibri" w:hAnsi="Calibri" w:cs="Arial"/>
        </w:rPr>
        <w:t xml:space="preserve"> be</w:t>
      </w:r>
      <w:r w:rsidR="00317438">
        <w:rPr>
          <w:rFonts w:ascii="Calibri" w:hAnsi="Calibri" w:cs="Arial"/>
        </w:rPr>
        <w:t>en</w:t>
      </w:r>
      <w:r>
        <w:rPr>
          <w:rFonts w:ascii="Calibri" w:hAnsi="Calibri" w:cs="Arial"/>
        </w:rPr>
        <w:t xml:space="preserve"> compensated as usual (section 31 un-ring-fenced grant) for this under-indexation but also for the under-indexation in the 2014-15 and 20</w:t>
      </w:r>
      <w:r w:rsidR="00317438">
        <w:rPr>
          <w:rFonts w:ascii="Calibri" w:hAnsi="Calibri" w:cs="Arial"/>
        </w:rPr>
        <w:t>15-16 multipliers. The DCLG previously</w:t>
      </w:r>
      <w:r>
        <w:rPr>
          <w:rFonts w:ascii="Calibri" w:hAnsi="Calibri" w:cs="Arial"/>
        </w:rPr>
        <w:t xml:space="preserve"> indicated that the compensation factor will be </w:t>
      </w:r>
      <w:r>
        <w:rPr>
          <w:rFonts w:ascii="Calibri" w:hAnsi="Calibri" w:cs="Arial"/>
        </w:rPr>
        <w:lastRenderedPageBreak/>
        <w:t xml:space="preserve">10/490 or in other words, the multiplier would have been 10p higher in 2018-19 if it hadn’t been for the cumulative under-indexing. </w:t>
      </w:r>
    </w:p>
    <w:p w:rsidR="00DD1340" w:rsidRDefault="00DD1340" w:rsidP="00703149">
      <w:pPr>
        <w:jc w:val="both"/>
        <w:rPr>
          <w:rFonts w:ascii="Calibri" w:hAnsi="Calibri" w:cs="Arial"/>
        </w:rPr>
      </w:pPr>
    </w:p>
    <w:p w:rsidR="00DD1340" w:rsidRDefault="00DD1340" w:rsidP="00703149">
      <w:pPr>
        <w:jc w:val="both"/>
        <w:rPr>
          <w:rFonts w:ascii="Calibri" w:hAnsi="Calibri" w:cs="Arial"/>
        </w:rPr>
      </w:pPr>
      <w:r>
        <w:rPr>
          <w:rFonts w:ascii="Calibri" w:hAnsi="Calibri" w:cs="Arial"/>
        </w:rPr>
        <w:t>Compensation will be via a section 31 (unringfenced grant) based on NNDR1s and paid in 12 monthly instalments. Payments will then be reconciled by means of one payment following the NNDR3s being received by DCLG.</w:t>
      </w:r>
    </w:p>
    <w:p w:rsidR="00DD1340" w:rsidRDefault="00DD1340" w:rsidP="00703149">
      <w:pPr>
        <w:jc w:val="both"/>
        <w:rPr>
          <w:rFonts w:ascii="Calibri" w:hAnsi="Calibri" w:cs="Arial"/>
        </w:rPr>
      </w:pPr>
    </w:p>
    <w:p w:rsidR="00066949" w:rsidRPr="00145513" w:rsidRDefault="00066949" w:rsidP="00066949">
      <w:pPr>
        <w:jc w:val="both"/>
        <w:rPr>
          <w:rFonts w:ascii="Calibri" w:hAnsi="Calibri" w:cs="Arial"/>
          <w:b/>
        </w:rPr>
      </w:pPr>
      <w:r w:rsidRPr="00145513">
        <w:rPr>
          <w:rFonts w:ascii="Calibri" w:hAnsi="Calibri" w:cs="Arial"/>
          <w:b/>
        </w:rPr>
        <w:t>Rural Services Delivery Grant</w:t>
      </w:r>
    </w:p>
    <w:p w:rsidR="008B58F8" w:rsidRDefault="00066949" w:rsidP="00066949">
      <w:pPr>
        <w:jc w:val="both"/>
        <w:rPr>
          <w:rFonts w:ascii="Calibri" w:hAnsi="Calibri" w:cs="Arial"/>
        </w:rPr>
      </w:pPr>
      <w:r w:rsidRPr="00145513">
        <w:rPr>
          <w:rFonts w:ascii="Calibri" w:hAnsi="Calibri" w:cs="Arial"/>
        </w:rPr>
        <w:t>201</w:t>
      </w:r>
      <w:r w:rsidR="00145513" w:rsidRPr="00145513">
        <w:rPr>
          <w:rFonts w:ascii="Calibri" w:hAnsi="Calibri" w:cs="Arial"/>
        </w:rPr>
        <w:t>8</w:t>
      </w:r>
      <w:r w:rsidRPr="00145513">
        <w:rPr>
          <w:rFonts w:ascii="Calibri" w:hAnsi="Calibri" w:cs="Arial"/>
        </w:rPr>
        <w:t>-1</w:t>
      </w:r>
      <w:r w:rsidR="00145513" w:rsidRPr="00145513">
        <w:rPr>
          <w:rFonts w:ascii="Calibri" w:hAnsi="Calibri" w:cs="Arial"/>
        </w:rPr>
        <w:t>9</w:t>
      </w:r>
      <w:r w:rsidRPr="00145513">
        <w:rPr>
          <w:rFonts w:ascii="Calibri" w:hAnsi="Calibri" w:cs="Arial"/>
        </w:rPr>
        <w:t xml:space="preserve"> allocations of the Rural Services Deli</w:t>
      </w:r>
      <w:r w:rsidR="008B58F8">
        <w:rPr>
          <w:rFonts w:ascii="Calibri" w:hAnsi="Calibri" w:cs="Arial"/>
        </w:rPr>
        <w:t xml:space="preserve">very Grant (RSDG) have been published totalling £65m. 2018-19 allocations had been expected to fall by £15m from £65m in 2017-18; </w:t>
      </w:r>
      <w:r w:rsidR="00B44EF9">
        <w:rPr>
          <w:rFonts w:ascii="Calibri" w:hAnsi="Calibri" w:cs="Arial"/>
        </w:rPr>
        <w:t>however</w:t>
      </w:r>
      <w:r w:rsidR="008B58F8">
        <w:rPr>
          <w:rFonts w:ascii="Calibri" w:hAnsi="Calibri" w:cs="Arial"/>
        </w:rPr>
        <w:t>, this reduction has been cancelled</w:t>
      </w:r>
      <w:r w:rsidR="008B58F8" w:rsidRPr="00016498">
        <w:rPr>
          <w:rFonts w:ascii="Calibri" w:hAnsi="Calibri" w:cs="Arial"/>
        </w:rPr>
        <w:t xml:space="preserve">. Allocations </w:t>
      </w:r>
      <w:r w:rsidR="00145513" w:rsidRPr="00016498">
        <w:rPr>
          <w:rFonts w:ascii="Calibri" w:hAnsi="Calibri" w:cs="Arial"/>
        </w:rPr>
        <w:t>r</w:t>
      </w:r>
      <w:r w:rsidR="008B58F8" w:rsidRPr="00016498">
        <w:rPr>
          <w:rFonts w:ascii="Calibri" w:hAnsi="Calibri" w:cs="Arial"/>
        </w:rPr>
        <w:t>emain at</w:t>
      </w:r>
      <w:r w:rsidR="00145513" w:rsidRPr="00016498">
        <w:rPr>
          <w:rFonts w:ascii="Calibri" w:hAnsi="Calibri" w:cs="Arial"/>
        </w:rPr>
        <w:t xml:space="preserve"> </w:t>
      </w:r>
      <w:r w:rsidRPr="00016498">
        <w:rPr>
          <w:rFonts w:ascii="Calibri" w:hAnsi="Calibri" w:cs="Arial"/>
        </w:rPr>
        <w:t>£65m in 2019-20.</w:t>
      </w:r>
      <w:r w:rsidRPr="00145513">
        <w:rPr>
          <w:rFonts w:ascii="Calibri" w:hAnsi="Calibri" w:cs="Arial"/>
        </w:rPr>
        <w:t xml:space="preserve"> </w:t>
      </w:r>
    </w:p>
    <w:p w:rsidR="0009274D" w:rsidRDefault="0009274D" w:rsidP="00066949">
      <w:pPr>
        <w:jc w:val="both"/>
        <w:rPr>
          <w:rFonts w:ascii="Calibri" w:hAnsi="Calibri" w:cs="Arial"/>
        </w:rPr>
      </w:pPr>
    </w:p>
    <w:p w:rsidR="00112981" w:rsidRPr="00112981" w:rsidRDefault="00112981" w:rsidP="00112981">
      <w:pPr>
        <w:jc w:val="both"/>
        <w:rPr>
          <w:rFonts w:ascii="Calibri" w:hAnsi="Calibri" w:cs="Arial"/>
          <w:i/>
        </w:rPr>
      </w:pPr>
      <w:r w:rsidRPr="00112981">
        <w:rPr>
          <w:rFonts w:ascii="Calibri" w:hAnsi="Calibri" w:cs="Arial"/>
          <w:i/>
        </w:rPr>
        <w:t>CAVEAT: this does not include the effects of pilot authorities forgoing their RSDG allocations. The TST will do further work on this in the coming days</w:t>
      </w:r>
    </w:p>
    <w:p w:rsidR="008B58F8" w:rsidRDefault="008B58F8" w:rsidP="00066949">
      <w:pPr>
        <w:jc w:val="both"/>
        <w:rPr>
          <w:rFonts w:ascii="Calibri" w:hAnsi="Calibri" w:cs="Arial"/>
        </w:rPr>
      </w:pPr>
    </w:p>
    <w:p w:rsidR="00066949" w:rsidRPr="00145513" w:rsidRDefault="008B58F8" w:rsidP="00066949">
      <w:pPr>
        <w:jc w:val="both"/>
        <w:rPr>
          <w:rFonts w:ascii="Calibri" w:hAnsi="Calibri" w:cs="Arial"/>
        </w:rPr>
      </w:pPr>
      <w:r>
        <w:rPr>
          <w:rFonts w:ascii="Calibri" w:hAnsi="Calibri" w:cs="Arial"/>
        </w:rPr>
        <w:t xml:space="preserve">The RSDG </w:t>
      </w:r>
      <w:r w:rsidR="00066949" w:rsidRPr="00145513">
        <w:rPr>
          <w:rFonts w:ascii="Calibri" w:hAnsi="Calibri" w:cs="Arial"/>
        </w:rPr>
        <w:t>is distributed to the top-quartile of authorities ranked by super-sparsity, as per the distributional methodology for the Rural Services Delivery Gra</w:t>
      </w:r>
      <w:r w:rsidR="00145513">
        <w:rPr>
          <w:rFonts w:ascii="Calibri" w:hAnsi="Calibri" w:cs="Arial"/>
        </w:rPr>
        <w:t xml:space="preserve">nt </w:t>
      </w:r>
      <w:r w:rsidR="00145513" w:rsidRPr="007C697A">
        <w:rPr>
          <w:rFonts w:ascii="Calibri" w:hAnsi="Calibri" w:cs="Arial"/>
        </w:rPr>
        <w:t>indicator in 2015-16. In 2018-19</w:t>
      </w:r>
      <w:r w:rsidR="00066949" w:rsidRPr="007C697A">
        <w:rPr>
          <w:rFonts w:ascii="Calibri" w:hAnsi="Calibri" w:cs="Arial"/>
        </w:rPr>
        <w:t xml:space="preserve"> the gra</w:t>
      </w:r>
      <w:r w:rsidR="00145513" w:rsidRPr="007C697A">
        <w:rPr>
          <w:rFonts w:ascii="Calibri" w:hAnsi="Calibri" w:cs="Arial"/>
        </w:rPr>
        <w:t>nt is payable to 14 SCT members who receive a total of £</w:t>
      </w:r>
      <w:r w:rsidR="007C697A" w:rsidRPr="007C697A">
        <w:rPr>
          <w:rFonts w:ascii="Calibri" w:hAnsi="Calibri" w:cs="Arial"/>
        </w:rPr>
        <w:t>49.5</w:t>
      </w:r>
      <w:r w:rsidR="00145513" w:rsidRPr="007C697A">
        <w:rPr>
          <w:rFonts w:ascii="Calibri" w:hAnsi="Calibri" w:cs="Arial"/>
        </w:rPr>
        <w:t>m.</w:t>
      </w:r>
    </w:p>
    <w:p w:rsidR="00066949" w:rsidRPr="00A47228" w:rsidRDefault="00066949" w:rsidP="00066949">
      <w:pPr>
        <w:jc w:val="both"/>
        <w:rPr>
          <w:rFonts w:ascii="Calibri" w:hAnsi="Calibri" w:cs="Arial"/>
          <w:b/>
          <w:color w:val="0B0C0C"/>
          <w:highlight w:val="cyan"/>
          <w:shd w:val="clear" w:color="auto" w:fill="FFFFFF"/>
        </w:rPr>
      </w:pPr>
    </w:p>
    <w:p w:rsidR="00B16121" w:rsidRPr="00E21F01" w:rsidRDefault="00B16121" w:rsidP="00B16121">
      <w:pPr>
        <w:jc w:val="both"/>
        <w:rPr>
          <w:rFonts w:ascii="Calibri" w:hAnsi="Calibri" w:cs="Arial"/>
          <w:b/>
        </w:rPr>
      </w:pPr>
      <w:r w:rsidRPr="00E21F01">
        <w:rPr>
          <w:rFonts w:ascii="Calibri" w:hAnsi="Calibri" w:cs="Arial"/>
          <w:b/>
        </w:rPr>
        <w:t>NEW HOMES BONUS</w:t>
      </w:r>
    </w:p>
    <w:p w:rsidR="00B16121" w:rsidRPr="00B16490" w:rsidRDefault="00B16121" w:rsidP="00B16121">
      <w:pPr>
        <w:jc w:val="both"/>
        <w:rPr>
          <w:rFonts w:ascii="Calibri" w:hAnsi="Calibri" w:cs="Arial"/>
          <w:b/>
        </w:rPr>
      </w:pPr>
      <w:r w:rsidRPr="00B16490">
        <w:rPr>
          <w:rFonts w:ascii="Calibri" w:hAnsi="Calibri" w:cs="Arial"/>
          <w:b/>
        </w:rPr>
        <w:t>Changes to the Scheme</w:t>
      </w:r>
    </w:p>
    <w:p w:rsidR="00D01437" w:rsidRPr="00D01437" w:rsidRDefault="00D01437" w:rsidP="00D01437">
      <w:pPr>
        <w:rPr>
          <w:rFonts w:ascii="Calibri" w:hAnsi="Calibri" w:cs="Arial"/>
        </w:rPr>
      </w:pPr>
      <w:r w:rsidRPr="00D01437">
        <w:rPr>
          <w:rFonts w:ascii="Calibri" w:hAnsi="Calibri" w:cs="Arial"/>
        </w:rPr>
        <w:t>The 2015 Spending Review confirmed that BCF would continue and that in the three years from 17-18</w:t>
      </w:r>
      <w:r w:rsidR="009845DF">
        <w:rPr>
          <w:rFonts w:ascii="Calibri" w:hAnsi="Calibri" w:cs="Arial"/>
        </w:rPr>
        <w:t>,</w:t>
      </w:r>
      <w:r w:rsidRPr="00D01437">
        <w:rPr>
          <w:rFonts w:ascii="Calibri" w:hAnsi="Calibri" w:cs="Arial"/>
        </w:rPr>
        <w:t xml:space="preserve"> additional Improved Better Care (iBCF) funding would be added to the BCF progressively. </w:t>
      </w:r>
    </w:p>
    <w:p w:rsidR="00D01437" w:rsidRPr="00D01437" w:rsidRDefault="00D01437" w:rsidP="00D01437">
      <w:pPr>
        <w:jc w:val="both"/>
        <w:rPr>
          <w:rFonts w:ascii="Calibri" w:hAnsi="Calibri" w:cs="Arial"/>
        </w:rPr>
      </w:pPr>
    </w:p>
    <w:p w:rsidR="00D01437" w:rsidRPr="00D01437" w:rsidRDefault="00D01437" w:rsidP="00D01437">
      <w:pPr>
        <w:jc w:val="both"/>
        <w:rPr>
          <w:rFonts w:ascii="Calibri" w:hAnsi="Calibri" w:cs="Arial"/>
        </w:rPr>
      </w:pPr>
      <w:r w:rsidRPr="00D01437">
        <w:rPr>
          <w:rFonts w:ascii="Calibri" w:hAnsi="Calibri" w:cs="Arial"/>
        </w:rPr>
        <w:t>In 17-18 £105m iBCF was made available direct to local authorities increasing to £825m in 18-19 and £1.5bn in 19-20:</w:t>
      </w:r>
    </w:p>
    <w:p w:rsidR="00D01437" w:rsidRDefault="00D01437" w:rsidP="00D01437">
      <w:pPr>
        <w:jc w:val="both"/>
        <w:rPr>
          <w:rFonts w:cs="Tahoma"/>
          <w:lang w:eastAsia="en-GB"/>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1499"/>
      </w:tblGrid>
      <w:tr w:rsidR="009845DF" w:rsidRPr="009845DF" w:rsidTr="009845DF">
        <w:trPr>
          <w:jc w:val="center"/>
        </w:trPr>
        <w:tc>
          <w:tcPr>
            <w:tcW w:w="0" w:type="auto"/>
            <w:tcBorders>
              <w:top w:val="single" w:sz="4" w:space="0" w:color="auto"/>
              <w:bottom w:val="single" w:sz="4" w:space="0" w:color="auto"/>
            </w:tcBorders>
          </w:tcPr>
          <w:p w:rsidR="009845DF" w:rsidRPr="009845DF" w:rsidRDefault="009845DF" w:rsidP="00D01437">
            <w:pPr>
              <w:jc w:val="both"/>
              <w:rPr>
                <w:rFonts w:asciiTheme="minorHAnsi" w:hAnsiTheme="minorHAnsi" w:cs="Tahoma"/>
                <w:b/>
                <w:lang w:eastAsia="en-GB"/>
              </w:rPr>
            </w:pPr>
            <w:r w:rsidRPr="009845DF">
              <w:rPr>
                <w:rFonts w:asciiTheme="minorHAnsi" w:hAnsiTheme="minorHAnsi" w:cs="Tahoma"/>
                <w:b/>
                <w:lang w:eastAsia="en-GB"/>
              </w:rPr>
              <w:t>Year</w:t>
            </w:r>
          </w:p>
        </w:tc>
        <w:tc>
          <w:tcPr>
            <w:tcW w:w="0" w:type="auto"/>
            <w:tcBorders>
              <w:top w:val="single" w:sz="4" w:space="0" w:color="auto"/>
              <w:bottom w:val="single" w:sz="4" w:space="0" w:color="auto"/>
            </w:tcBorders>
          </w:tcPr>
          <w:p w:rsidR="009845DF" w:rsidRPr="009845DF" w:rsidRDefault="009845DF" w:rsidP="00D01437">
            <w:pPr>
              <w:jc w:val="both"/>
              <w:rPr>
                <w:rFonts w:asciiTheme="minorHAnsi" w:hAnsiTheme="minorHAnsi" w:cs="Tahoma"/>
                <w:b/>
                <w:lang w:eastAsia="en-GB"/>
              </w:rPr>
            </w:pPr>
            <w:r w:rsidRPr="009845DF">
              <w:rPr>
                <w:rFonts w:asciiTheme="minorHAnsi" w:hAnsiTheme="minorHAnsi" w:cs="Tahoma"/>
                <w:b/>
                <w:lang w:eastAsia="en-GB"/>
              </w:rPr>
              <w:t>iBCF Funding</w:t>
            </w:r>
          </w:p>
        </w:tc>
      </w:tr>
      <w:tr w:rsidR="009845DF" w:rsidRPr="009845DF" w:rsidTr="009845DF">
        <w:trPr>
          <w:jc w:val="center"/>
        </w:trPr>
        <w:tc>
          <w:tcPr>
            <w:tcW w:w="0" w:type="auto"/>
            <w:tcBorders>
              <w:top w:val="single" w:sz="4" w:space="0" w:color="auto"/>
            </w:tcBorders>
          </w:tcPr>
          <w:p w:rsidR="009845DF" w:rsidRPr="009845DF" w:rsidRDefault="009845DF" w:rsidP="00D01437">
            <w:pPr>
              <w:jc w:val="both"/>
              <w:rPr>
                <w:rFonts w:asciiTheme="minorHAnsi" w:hAnsiTheme="minorHAnsi" w:cs="Tahoma"/>
                <w:lang w:eastAsia="en-GB"/>
              </w:rPr>
            </w:pPr>
            <w:r w:rsidRPr="009845DF">
              <w:rPr>
                <w:rFonts w:asciiTheme="minorHAnsi" w:hAnsiTheme="minorHAnsi" w:cs="Tahoma"/>
                <w:lang w:eastAsia="en-GB"/>
              </w:rPr>
              <w:t>2017-18</w:t>
            </w:r>
          </w:p>
        </w:tc>
        <w:tc>
          <w:tcPr>
            <w:tcW w:w="0" w:type="auto"/>
            <w:tcBorders>
              <w:top w:val="single" w:sz="4" w:space="0" w:color="auto"/>
            </w:tcBorders>
          </w:tcPr>
          <w:p w:rsidR="009845DF" w:rsidRPr="009845DF" w:rsidRDefault="009845DF" w:rsidP="00D01437">
            <w:pPr>
              <w:jc w:val="both"/>
              <w:rPr>
                <w:rFonts w:asciiTheme="minorHAnsi" w:hAnsiTheme="minorHAnsi" w:cs="Tahoma"/>
                <w:lang w:eastAsia="en-GB"/>
              </w:rPr>
            </w:pPr>
            <w:r w:rsidRPr="009845DF">
              <w:rPr>
                <w:rFonts w:asciiTheme="minorHAnsi" w:hAnsiTheme="minorHAnsi" w:cs="Tahoma"/>
                <w:lang w:eastAsia="en-GB"/>
              </w:rPr>
              <w:t>£105m</w:t>
            </w:r>
          </w:p>
        </w:tc>
      </w:tr>
      <w:tr w:rsidR="009845DF" w:rsidRPr="009845DF" w:rsidTr="009845DF">
        <w:trPr>
          <w:jc w:val="center"/>
        </w:trPr>
        <w:tc>
          <w:tcPr>
            <w:tcW w:w="0" w:type="auto"/>
          </w:tcPr>
          <w:p w:rsidR="009845DF" w:rsidRPr="009845DF" w:rsidRDefault="009845DF" w:rsidP="00D01437">
            <w:pPr>
              <w:jc w:val="both"/>
              <w:rPr>
                <w:rFonts w:asciiTheme="minorHAnsi" w:hAnsiTheme="minorHAnsi" w:cs="Tahoma"/>
                <w:lang w:eastAsia="en-GB"/>
              </w:rPr>
            </w:pPr>
            <w:r w:rsidRPr="009845DF">
              <w:rPr>
                <w:rFonts w:asciiTheme="minorHAnsi" w:hAnsiTheme="minorHAnsi" w:cs="Tahoma"/>
                <w:lang w:eastAsia="en-GB"/>
              </w:rPr>
              <w:t>2018-19</w:t>
            </w:r>
          </w:p>
        </w:tc>
        <w:tc>
          <w:tcPr>
            <w:tcW w:w="0" w:type="auto"/>
          </w:tcPr>
          <w:p w:rsidR="009845DF" w:rsidRPr="009845DF" w:rsidRDefault="009845DF" w:rsidP="00D01437">
            <w:pPr>
              <w:jc w:val="both"/>
              <w:rPr>
                <w:rFonts w:asciiTheme="minorHAnsi" w:hAnsiTheme="minorHAnsi" w:cs="Tahoma"/>
                <w:lang w:eastAsia="en-GB"/>
              </w:rPr>
            </w:pPr>
            <w:r w:rsidRPr="009845DF">
              <w:rPr>
                <w:rFonts w:asciiTheme="minorHAnsi" w:hAnsiTheme="minorHAnsi" w:cs="Tahoma"/>
                <w:lang w:eastAsia="en-GB"/>
              </w:rPr>
              <w:t>£825m</w:t>
            </w:r>
          </w:p>
        </w:tc>
      </w:tr>
      <w:tr w:rsidR="009845DF" w:rsidRPr="009845DF" w:rsidTr="009845DF">
        <w:trPr>
          <w:jc w:val="center"/>
        </w:trPr>
        <w:tc>
          <w:tcPr>
            <w:tcW w:w="0" w:type="auto"/>
          </w:tcPr>
          <w:p w:rsidR="009845DF" w:rsidRPr="009845DF" w:rsidRDefault="009845DF" w:rsidP="00D01437">
            <w:pPr>
              <w:jc w:val="both"/>
              <w:rPr>
                <w:rFonts w:asciiTheme="minorHAnsi" w:hAnsiTheme="minorHAnsi" w:cs="Tahoma"/>
                <w:lang w:eastAsia="en-GB"/>
              </w:rPr>
            </w:pPr>
            <w:r w:rsidRPr="009845DF">
              <w:rPr>
                <w:rFonts w:asciiTheme="minorHAnsi" w:hAnsiTheme="minorHAnsi" w:cs="Tahoma"/>
                <w:lang w:eastAsia="en-GB"/>
              </w:rPr>
              <w:t>2019-20</w:t>
            </w:r>
          </w:p>
        </w:tc>
        <w:tc>
          <w:tcPr>
            <w:tcW w:w="0" w:type="auto"/>
          </w:tcPr>
          <w:p w:rsidR="009845DF" w:rsidRPr="009845DF" w:rsidRDefault="009845DF" w:rsidP="00D01437">
            <w:pPr>
              <w:jc w:val="both"/>
              <w:rPr>
                <w:rFonts w:asciiTheme="minorHAnsi" w:hAnsiTheme="minorHAnsi" w:cs="Tahoma"/>
                <w:lang w:eastAsia="en-GB"/>
              </w:rPr>
            </w:pPr>
            <w:r w:rsidRPr="009845DF">
              <w:rPr>
                <w:rFonts w:asciiTheme="minorHAnsi" w:hAnsiTheme="minorHAnsi" w:cs="Tahoma"/>
                <w:lang w:eastAsia="en-GB"/>
              </w:rPr>
              <w:t>£1,500m</w:t>
            </w:r>
          </w:p>
        </w:tc>
      </w:tr>
    </w:tbl>
    <w:p w:rsidR="009845DF" w:rsidRPr="002D6936" w:rsidRDefault="009845DF" w:rsidP="00D01437">
      <w:pPr>
        <w:jc w:val="both"/>
        <w:rPr>
          <w:rFonts w:cs="Tahoma"/>
          <w:lang w:eastAsia="en-GB"/>
        </w:rPr>
      </w:pPr>
    </w:p>
    <w:p w:rsidR="00B16121" w:rsidRDefault="00B16121" w:rsidP="00B16121">
      <w:pPr>
        <w:jc w:val="both"/>
        <w:rPr>
          <w:rFonts w:ascii="Calibri" w:hAnsi="Calibri" w:cs="Arial"/>
        </w:rPr>
      </w:pPr>
      <w:r w:rsidRPr="00B16490">
        <w:rPr>
          <w:rFonts w:ascii="Calibri" w:hAnsi="Calibri" w:cs="Arial"/>
        </w:rPr>
        <w:t>The £1.5bn consists of £700m new money and £800m savings from the New Homes Bonus programme.</w:t>
      </w:r>
      <w:r>
        <w:rPr>
          <w:rFonts w:ascii="Calibri" w:hAnsi="Calibri" w:cs="Arial"/>
        </w:rPr>
        <w:t xml:space="preserve"> However it was unclear </w:t>
      </w:r>
      <w:r w:rsidR="005E20B3">
        <w:rPr>
          <w:rFonts w:ascii="Calibri" w:hAnsi="Calibri" w:cs="Arial"/>
        </w:rPr>
        <w:t xml:space="preserve">how the </w:t>
      </w:r>
      <w:r>
        <w:rPr>
          <w:rFonts w:ascii="Calibri" w:hAnsi="Calibri" w:cs="Arial"/>
        </w:rPr>
        <w:t>additional funding for 2017-18 and 2018-19 would be met</w:t>
      </w:r>
      <w:r w:rsidR="005E20B3">
        <w:rPr>
          <w:rFonts w:ascii="Calibri" w:hAnsi="Calibri" w:cs="Arial"/>
        </w:rPr>
        <w:t xml:space="preserve">. </w:t>
      </w:r>
    </w:p>
    <w:p w:rsidR="005E20B3" w:rsidRDefault="005E20B3" w:rsidP="00B16121">
      <w:pPr>
        <w:jc w:val="both"/>
        <w:rPr>
          <w:rFonts w:ascii="Calibri" w:hAnsi="Calibri" w:cs="Arial"/>
        </w:rPr>
      </w:pPr>
    </w:p>
    <w:p w:rsidR="00B16121" w:rsidRDefault="00B16121" w:rsidP="00B16121">
      <w:pPr>
        <w:jc w:val="both"/>
        <w:rPr>
          <w:rFonts w:ascii="Calibri" w:hAnsi="Calibri" w:cs="Tahoma"/>
        </w:rPr>
      </w:pPr>
      <w:r w:rsidRPr="00E21F01">
        <w:rPr>
          <w:rFonts w:ascii="Calibri" w:hAnsi="Calibri" w:cs="Arial"/>
        </w:rPr>
        <w:t xml:space="preserve">At the beginning of 2016 </w:t>
      </w:r>
      <w:r w:rsidR="009301D0">
        <w:rPr>
          <w:rFonts w:ascii="Calibri" w:hAnsi="Calibri" w:cs="Arial"/>
        </w:rPr>
        <w:t xml:space="preserve">the </w:t>
      </w:r>
      <w:r w:rsidRPr="00E21F01">
        <w:rPr>
          <w:rFonts w:ascii="Calibri" w:hAnsi="Calibri" w:cs="Arial"/>
        </w:rPr>
        <w:t xml:space="preserve">DCLG </w:t>
      </w:r>
      <w:hyperlink r:id="rId17" w:history="1">
        <w:r w:rsidRPr="00E21F01">
          <w:rPr>
            <w:rStyle w:val="Hyperlink"/>
            <w:rFonts w:ascii="Calibri" w:hAnsi="Calibri" w:cs="Arial"/>
          </w:rPr>
          <w:t>consulted</w:t>
        </w:r>
      </w:hyperlink>
      <w:r w:rsidRPr="00E21F01">
        <w:rPr>
          <w:rFonts w:ascii="Calibri" w:hAnsi="Calibri" w:cs="Arial"/>
        </w:rPr>
        <w:t xml:space="preserve"> on </w:t>
      </w:r>
      <w:r w:rsidRPr="00E21F01">
        <w:rPr>
          <w:rFonts w:ascii="Calibri" w:hAnsi="Calibri" w:cs="Tahoma"/>
        </w:rPr>
        <w:t>options to reform the New</w:t>
      </w:r>
      <w:r w:rsidR="009301D0">
        <w:rPr>
          <w:rFonts w:ascii="Calibri" w:hAnsi="Calibri" w:cs="Tahoma"/>
        </w:rPr>
        <w:t xml:space="preserve"> Homes Bonus Scheme. The aim of the reform</w:t>
      </w:r>
      <w:r w:rsidRPr="00E21F01">
        <w:rPr>
          <w:rFonts w:ascii="Calibri" w:hAnsi="Calibri" w:cs="Tahoma"/>
        </w:rPr>
        <w:t xml:space="preserve"> was to sharpen the NHB’s incentive to deliver new housing.</w:t>
      </w:r>
      <w:r w:rsidRPr="00E21F01">
        <w:rPr>
          <w:rFonts w:ascii="Tahoma" w:hAnsi="Tahoma" w:cs="Tahoma"/>
          <w:color w:val="000000"/>
          <w:sz w:val="22"/>
          <w:szCs w:val="22"/>
        </w:rPr>
        <w:t xml:space="preserve"> </w:t>
      </w:r>
      <w:r w:rsidRPr="00E21F01">
        <w:rPr>
          <w:rFonts w:ascii="Calibri" w:hAnsi="Calibri" w:cs="Tahoma"/>
        </w:rPr>
        <w:t xml:space="preserve">The Government also wished to reduce the level of NHB payments, in order to provide </w:t>
      </w:r>
      <w:r>
        <w:rPr>
          <w:rFonts w:ascii="Calibri" w:hAnsi="Calibri" w:cs="Tahoma"/>
        </w:rPr>
        <w:t xml:space="preserve">the </w:t>
      </w:r>
      <w:r w:rsidRPr="00E21F01">
        <w:rPr>
          <w:rFonts w:ascii="Calibri" w:hAnsi="Calibri" w:cs="Tahoma"/>
        </w:rPr>
        <w:t xml:space="preserve">additional funding for the Better Care Fund. </w:t>
      </w:r>
    </w:p>
    <w:p w:rsidR="00B16121" w:rsidRPr="00E21F01" w:rsidRDefault="00B16121" w:rsidP="00B16121">
      <w:pPr>
        <w:jc w:val="both"/>
        <w:rPr>
          <w:rFonts w:ascii="Calibri" w:hAnsi="Calibri" w:cs="Tahoma"/>
        </w:rPr>
      </w:pPr>
    </w:p>
    <w:p w:rsidR="00B16121" w:rsidRPr="00E21F01" w:rsidRDefault="00B16121" w:rsidP="00B16121">
      <w:pPr>
        <w:jc w:val="both"/>
        <w:rPr>
          <w:rFonts w:ascii="Calibri" w:hAnsi="Calibri" w:cs="Tahoma"/>
        </w:rPr>
      </w:pPr>
      <w:r w:rsidRPr="00E21F01">
        <w:rPr>
          <w:rFonts w:ascii="Calibri" w:hAnsi="Calibri" w:cs="Tahoma"/>
        </w:rPr>
        <w:t>Four proposals were consulted on including:</w:t>
      </w:r>
    </w:p>
    <w:p w:rsidR="00B16121" w:rsidRPr="00E21F01" w:rsidRDefault="00B16121" w:rsidP="00B16121">
      <w:pPr>
        <w:numPr>
          <w:ilvl w:val="0"/>
          <w:numId w:val="2"/>
        </w:numPr>
        <w:jc w:val="both"/>
        <w:rPr>
          <w:rFonts w:ascii="Calibri" w:hAnsi="Calibri" w:cs="Arial"/>
        </w:rPr>
      </w:pPr>
      <w:r w:rsidRPr="00E21F01">
        <w:rPr>
          <w:rFonts w:ascii="Calibri" w:hAnsi="Calibri" w:cs="Arial"/>
        </w:rPr>
        <w:t>Adjusting the Bonus to reflect estimates of deadweight</w:t>
      </w:r>
    </w:p>
    <w:p w:rsidR="00B16121" w:rsidRPr="00E21F01" w:rsidRDefault="00B16121" w:rsidP="00B16121">
      <w:pPr>
        <w:numPr>
          <w:ilvl w:val="0"/>
          <w:numId w:val="2"/>
        </w:numPr>
        <w:jc w:val="both"/>
        <w:rPr>
          <w:rFonts w:ascii="Calibri" w:hAnsi="Calibri" w:cs="Arial"/>
        </w:rPr>
      </w:pPr>
      <w:r w:rsidRPr="00E21F01">
        <w:rPr>
          <w:rFonts w:ascii="Calibri" w:hAnsi="Calibri" w:cs="Arial"/>
        </w:rPr>
        <w:t>A reduction in the number of years for which the Bonus is paid from the current 6 years to 4 years</w:t>
      </w:r>
    </w:p>
    <w:p w:rsidR="00B16121" w:rsidRPr="00E21F01" w:rsidRDefault="00B16121" w:rsidP="00B16121">
      <w:pPr>
        <w:numPr>
          <w:ilvl w:val="0"/>
          <w:numId w:val="2"/>
        </w:numPr>
        <w:jc w:val="both"/>
        <w:rPr>
          <w:rFonts w:ascii="Calibri" w:hAnsi="Calibri" w:cs="Arial"/>
        </w:rPr>
      </w:pPr>
      <w:r w:rsidRPr="00E21F01">
        <w:rPr>
          <w:rFonts w:ascii="Calibri" w:hAnsi="Calibri" w:cs="Arial"/>
        </w:rPr>
        <w:t xml:space="preserve">Withholding the Bonus from areas where </w:t>
      </w:r>
      <w:r w:rsidR="009301D0">
        <w:rPr>
          <w:rFonts w:ascii="Calibri" w:hAnsi="Calibri" w:cs="Arial"/>
        </w:rPr>
        <w:t xml:space="preserve">there is no </w:t>
      </w:r>
      <w:r w:rsidRPr="00E21F01">
        <w:rPr>
          <w:rFonts w:ascii="Calibri" w:hAnsi="Calibri" w:cs="Arial"/>
        </w:rPr>
        <w:t>Local Plan in place</w:t>
      </w:r>
    </w:p>
    <w:p w:rsidR="00B16121" w:rsidRPr="00E21F01" w:rsidRDefault="00B16121" w:rsidP="00B16121">
      <w:pPr>
        <w:numPr>
          <w:ilvl w:val="0"/>
          <w:numId w:val="2"/>
        </w:numPr>
        <w:jc w:val="both"/>
        <w:rPr>
          <w:rFonts w:ascii="Calibri" w:hAnsi="Calibri" w:cs="Arial"/>
        </w:rPr>
      </w:pPr>
      <w:r w:rsidRPr="00E21F01">
        <w:rPr>
          <w:rFonts w:ascii="Calibri" w:hAnsi="Calibri" w:cs="Arial"/>
        </w:rPr>
        <w:lastRenderedPageBreak/>
        <w:t>Abating the Bonus in circumstances where planning permission for a new development has only been granted on appeal</w:t>
      </w:r>
    </w:p>
    <w:p w:rsidR="00B16121" w:rsidRPr="00E21F01" w:rsidRDefault="00B16121" w:rsidP="00B16121">
      <w:pPr>
        <w:jc w:val="both"/>
        <w:rPr>
          <w:rFonts w:ascii="Calibri" w:hAnsi="Calibri" w:cs="Arial"/>
        </w:rPr>
      </w:pPr>
    </w:p>
    <w:p w:rsidR="00B16121" w:rsidRPr="00E21F01" w:rsidRDefault="00B16121" w:rsidP="00B16121">
      <w:pPr>
        <w:jc w:val="both"/>
        <w:rPr>
          <w:rFonts w:ascii="Calibri" w:hAnsi="Calibri" w:cs="Arial"/>
        </w:rPr>
      </w:pPr>
      <w:r>
        <w:rPr>
          <w:rFonts w:ascii="Calibri" w:hAnsi="Calibri" w:cs="Arial"/>
        </w:rPr>
        <w:t>DCLG im</w:t>
      </w:r>
      <w:r w:rsidRPr="00E21F01">
        <w:rPr>
          <w:rFonts w:ascii="Calibri" w:hAnsi="Calibri" w:cs="Arial"/>
        </w:rPr>
        <w:t xml:space="preserve">plemented the first two proposals in 2017-18 basing payments on housing growth above 0.4% of the local authority’s housing stock (the consultation proposal was 0.25%) and reducing payments </w:t>
      </w:r>
      <w:r>
        <w:rPr>
          <w:rFonts w:ascii="Calibri" w:hAnsi="Calibri" w:cs="Arial"/>
        </w:rPr>
        <w:t xml:space="preserve">from 6 to </w:t>
      </w:r>
      <w:r w:rsidRPr="00E21F01">
        <w:rPr>
          <w:rFonts w:ascii="Calibri" w:hAnsi="Calibri" w:cs="Arial"/>
        </w:rPr>
        <w:t xml:space="preserve">5 years. This yielded </w:t>
      </w:r>
      <w:r>
        <w:rPr>
          <w:rFonts w:ascii="Calibri" w:hAnsi="Calibri" w:cs="Arial"/>
        </w:rPr>
        <w:t>approximately £350m. Savings not distributed as iBCF were reallocated</w:t>
      </w:r>
      <w:r w:rsidRPr="00E21F01">
        <w:rPr>
          <w:rFonts w:ascii="Calibri" w:hAnsi="Calibri" w:cs="Arial"/>
        </w:rPr>
        <w:t xml:space="preserve"> to upper-tier authorities as the </w:t>
      </w:r>
      <w:r>
        <w:rPr>
          <w:rFonts w:ascii="Calibri" w:hAnsi="Calibri" w:cs="Arial"/>
        </w:rPr>
        <w:t xml:space="preserve">£241m </w:t>
      </w:r>
      <w:r w:rsidRPr="00E21F01">
        <w:rPr>
          <w:rFonts w:ascii="Calibri" w:hAnsi="Calibri" w:cs="Arial"/>
        </w:rPr>
        <w:t>Adult Social Care Support Grant.</w:t>
      </w:r>
    </w:p>
    <w:p w:rsidR="008E54EB" w:rsidRDefault="008E54EB" w:rsidP="008E54EB">
      <w:pPr>
        <w:pStyle w:val="ListParagraph"/>
        <w:ind w:left="0"/>
        <w:contextualSpacing/>
        <w:rPr>
          <w:rFonts w:cs="Arial"/>
          <w:b/>
          <w:sz w:val="24"/>
          <w:szCs w:val="24"/>
        </w:rPr>
      </w:pPr>
    </w:p>
    <w:p w:rsidR="008E54EB" w:rsidRPr="00B16490" w:rsidRDefault="008E54EB" w:rsidP="008E54EB">
      <w:pPr>
        <w:pStyle w:val="ListParagraph"/>
        <w:ind w:left="0"/>
        <w:contextualSpacing/>
        <w:rPr>
          <w:rFonts w:cs="Arial"/>
          <w:b/>
          <w:sz w:val="24"/>
          <w:szCs w:val="24"/>
        </w:rPr>
      </w:pPr>
      <w:r w:rsidRPr="00B16490">
        <w:rPr>
          <w:rFonts w:cs="Arial"/>
          <w:b/>
          <w:sz w:val="24"/>
          <w:szCs w:val="24"/>
        </w:rPr>
        <w:t>2018-19 NHB Allocations</w:t>
      </w:r>
    </w:p>
    <w:p w:rsidR="0016480E" w:rsidRDefault="00406BBE" w:rsidP="00B16121">
      <w:pPr>
        <w:jc w:val="both"/>
        <w:rPr>
          <w:rFonts w:ascii="Calibri" w:hAnsi="Calibri" w:cs="Arial"/>
        </w:rPr>
      </w:pPr>
      <w:r>
        <w:rPr>
          <w:rFonts w:ascii="Calibri" w:hAnsi="Calibri" w:cs="Arial"/>
        </w:rPr>
        <w:t>In</w:t>
      </w:r>
      <w:r w:rsidR="00B16121" w:rsidRPr="00E21F01">
        <w:rPr>
          <w:rFonts w:ascii="Calibri" w:hAnsi="Calibri" w:cs="Arial"/>
        </w:rPr>
        <w:t xml:space="preserve"> summer </w:t>
      </w:r>
      <w:r w:rsidR="00B16121">
        <w:rPr>
          <w:rFonts w:ascii="Calibri" w:hAnsi="Calibri" w:cs="Arial"/>
        </w:rPr>
        <w:t>2017</w:t>
      </w:r>
      <w:r>
        <w:rPr>
          <w:rFonts w:ascii="Calibri" w:hAnsi="Calibri" w:cs="Arial"/>
        </w:rPr>
        <w:t>, the</w:t>
      </w:r>
      <w:r w:rsidR="00B16121">
        <w:rPr>
          <w:rFonts w:ascii="Calibri" w:hAnsi="Calibri" w:cs="Arial"/>
        </w:rPr>
        <w:t xml:space="preserve"> </w:t>
      </w:r>
      <w:r w:rsidR="00B16121" w:rsidRPr="00E21F01">
        <w:rPr>
          <w:rFonts w:ascii="Calibri" w:hAnsi="Calibri" w:cs="Arial"/>
        </w:rPr>
        <w:t>DCL</w:t>
      </w:r>
      <w:r w:rsidR="00B16121">
        <w:rPr>
          <w:rFonts w:ascii="Calibri" w:hAnsi="Calibri" w:cs="Arial"/>
        </w:rPr>
        <w:t>G</w:t>
      </w:r>
      <w:r w:rsidR="00B16121" w:rsidRPr="00E21F01">
        <w:rPr>
          <w:rFonts w:ascii="Calibri" w:hAnsi="Calibri" w:cs="Arial"/>
        </w:rPr>
        <w:t xml:space="preserve"> </w:t>
      </w:r>
      <w:r w:rsidR="00B16121">
        <w:rPr>
          <w:rFonts w:ascii="Calibri" w:hAnsi="Calibri" w:cs="Arial"/>
        </w:rPr>
        <w:t xml:space="preserve">re-consulted on the latter two proposals in the </w:t>
      </w:r>
      <w:hyperlink r:id="rId18" w:history="1">
        <w:r w:rsidR="00B16121" w:rsidRPr="005E20B3">
          <w:rPr>
            <w:rStyle w:val="Hyperlink"/>
            <w:rFonts w:ascii="Calibri" w:hAnsi="Calibri" w:cs="Arial"/>
          </w:rPr>
          <w:t>2018-19 settlement technical consultation</w:t>
        </w:r>
      </w:hyperlink>
      <w:r w:rsidR="00B16121">
        <w:rPr>
          <w:rFonts w:ascii="Calibri" w:hAnsi="Calibri" w:cs="Arial"/>
        </w:rPr>
        <w:t xml:space="preserve">. The provisional 2018-19 settlement confirms that DCLG has further reduced the number of payment years from </w:t>
      </w:r>
      <w:r>
        <w:rPr>
          <w:rFonts w:ascii="Calibri" w:hAnsi="Calibri" w:cs="Arial"/>
        </w:rPr>
        <w:t>five</w:t>
      </w:r>
      <w:r w:rsidR="00B16121" w:rsidRPr="00E21F01">
        <w:rPr>
          <w:rFonts w:ascii="Calibri" w:hAnsi="Calibri" w:cs="Arial"/>
        </w:rPr>
        <w:t xml:space="preserve"> to </w:t>
      </w:r>
      <w:r>
        <w:rPr>
          <w:rFonts w:ascii="Calibri" w:hAnsi="Calibri" w:cs="Arial"/>
        </w:rPr>
        <w:t>four</w:t>
      </w:r>
      <w:r w:rsidR="00B16121" w:rsidRPr="00E21F01">
        <w:rPr>
          <w:rFonts w:ascii="Calibri" w:hAnsi="Calibri" w:cs="Arial"/>
        </w:rPr>
        <w:t xml:space="preserve"> years</w:t>
      </w:r>
      <w:r w:rsidR="0016480E">
        <w:rPr>
          <w:rFonts w:ascii="Calibri" w:hAnsi="Calibri" w:cs="Arial"/>
        </w:rPr>
        <w:t>. Today’s settlement confirmed that no new changes will be implemented in 2018-19</w:t>
      </w:r>
      <w:r w:rsidR="00E5441E">
        <w:rPr>
          <w:rFonts w:ascii="Calibri" w:hAnsi="Calibri" w:cs="Arial"/>
        </w:rPr>
        <w:t xml:space="preserve"> and th</w:t>
      </w:r>
      <w:r w:rsidR="0016480E">
        <w:rPr>
          <w:rFonts w:ascii="Calibri" w:hAnsi="Calibri" w:cs="Arial"/>
        </w:rPr>
        <w:t xml:space="preserve">e housing growth baseline above which grant is paid will also remain at 0.4%. </w:t>
      </w:r>
    </w:p>
    <w:p w:rsidR="00B16121" w:rsidRDefault="00B16121" w:rsidP="00B16121">
      <w:pPr>
        <w:jc w:val="both"/>
        <w:rPr>
          <w:rFonts w:ascii="Calibri" w:hAnsi="Calibri" w:cs="Arial"/>
          <w:highlight w:val="cyan"/>
        </w:rPr>
      </w:pPr>
    </w:p>
    <w:p w:rsidR="00B16121" w:rsidRPr="00B16490" w:rsidRDefault="00B16121" w:rsidP="00B16121">
      <w:pPr>
        <w:jc w:val="both"/>
        <w:rPr>
          <w:rFonts w:ascii="Calibri" w:hAnsi="Calibri" w:cs="Arial"/>
        </w:rPr>
      </w:pPr>
      <w:r w:rsidRPr="00B16490">
        <w:rPr>
          <w:rFonts w:ascii="Calibri" w:hAnsi="Calibri" w:cs="Arial"/>
        </w:rPr>
        <w:t xml:space="preserve">DCLG has </w:t>
      </w:r>
      <w:r w:rsidRPr="008C1238">
        <w:rPr>
          <w:rFonts w:ascii="Calibri" w:hAnsi="Calibri" w:cs="Arial"/>
        </w:rPr>
        <w:t xml:space="preserve">published </w:t>
      </w:r>
      <w:hyperlink r:id="rId19" w:history="1">
        <w:r w:rsidRPr="008C1238">
          <w:rPr>
            <w:rStyle w:val="Hyperlink"/>
            <w:rFonts w:ascii="Calibri" w:hAnsi="Calibri" w:cs="Arial"/>
          </w:rPr>
          <w:t>provisional allocations</w:t>
        </w:r>
      </w:hyperlink>
      <w:r w:rsidRPr="008C1238">
        <w:rPr>
          <w:rFonts w:ascii="Calibri" w:hAnsi="Calibri" w:cs="Arial"/>
        </w:rPr>
        <w:t xml:space="preserve"> for</w:t>
      </w:r>
      <w:r w:rsidRPr="00B16490">
        <w:rPr>
          <w:rFonts w:ascii="Calibri" w:hAnsi="Calibri" w:cs="Arial"/>
        </w:rPr>
        <w:t xml:space="preserve"> 201</w:t>
      </w:r>
      <w:r>
        <w:rPr>
          <w:rFonts w:ascii="Calibri" w:hAnsi="Calibri" w:cs="Arial"/>
        </w:rPr>
        <w:t>8</w:t>
      </w:r>
      <w:r w:rsidRPr="00B16490">
        <w:rPr>
          <w:rFonts w:ascii="Calibri" w:hAnsi="Calibri" w:cs="Arial"/>
        </w:rPr>
        <w:t>-1</w:t>
      </w:r>
      <w:r>
        <w:rPr>
          <w:rFonts w:ascii="Calibri" w:hAnsi="Calibri" w:cs="Arial"/>
        </w:rPr>
        <w:t>9</w:t>
      </w:r>
      <w:r w:rsidRPr="00B16490">
        <w:rPr>
          <w:rFonts w:ascii="Calibri" w:hAnsi="Calibri" w:cs="Arial"/>
        </w:rPr>
        <w:t xml:space="preserve">, the </w:t>
      </w:r>
      <w:r>
        <w:rPr>
          <w:rFonts w:ascii="Calibri" w:hAnsi="Calibri" w:cs="Arial"/>
        </w:rPr>
        <w:t>eighth</w:t>
      </w:r>
      <w:r w:rsidRPr="00B16490">
        <w:rPr>
          <w:rFonts w:ascii="Calibri" w:hAnsi="Calibri" w:cs="Arial"/>
        </w:rPr>
        <w:t xml:space="preserve"> year of the scheme. The provisional total NHB grant for 201</w:t>
      </w:r>
      <w:r>
        <w:rPr>
          <w:rFonts w:ascii="Calibri" w:hAnsi="Calibri" w:cs="Arial"/>
        </w:rPr>
        <w:t>8</w:t>
      </w:r>
      <w:r w:rsidRPr="00B16490">
        <w:rPr>
          <w:rFonts w:ascii="Calibri" w:hAnsi="Calibri" w:cs="Arial"/>
        </w:rPr>
        <w:t>-</w:t>
      </w:r>
      <w:r w:rsidRPr="008C1238">
        <w:rPr>
          <w:rFonts w:ascii="Calibri" w:hAnsi="Calibri" w:cs="Arial"/>
        </w:rPr>
        <w:t>19 is £</w:t>
      </w:r>
      <w:r w:rsidR="009301D0" w:rsidRPr="008C1238">
        <w:rPr>
          <w:rFonts w:ascii="Calibri" w:hAnsi="Calibri" w:cs="Arial"/>
        </w:rPr>
        <w:t>0.9</w:t>
      </w:r>
      <w:r w:rsidR="0016480E" w:rsidRPr="008C1238">
        <w:rPr>
          <w:rFonts w:ascii="Calibri" w:hAnsi="Calibri" w:cs="Arial"/>
        </w:rPr>
        <w:t>46</w:t>
      </w:r>
      <w:r w:rsidR="009301D0" w:rsidRPr="008C1238">
        <w:rPr>
          <w:rFonts w:ascii="Calibri" w:hAnsi="Calibri" w:cs="Arial"/>
        </w:rPr>
        <w:t>bn</w:t>
      </w:r>
      <w:r w:rsidRPr="00B16490">
        <w:rPr>
          <w:rFonts w:ascii="Calibri" w:hAnsi="Calibri" w:cs="Arial"/>
        </w:rPr>
        <w:t xml:space="preserve">. Payments include the grant awarded in years </w:t>
      </w:r>
      <w:r>
        <w:rPr>
          <w:rFonts w:ascii="Calibri" w:hAnsi="Calibri" w:cs="Arial"/>
        </w:rPr>
        <w:t>5</w:t>
      </w:r>
      <w:r w:rsidRPr="00B16490">
        <w:rPr>
          <w:rFonts w:ascii="Calibri" w:hAnsi="Calibri" w:cs="Arial"/>
        </w:rPr>
        <w:t xml:space="preserve"> to </w:t>
      </w:r>
      <w:r>
        <w:rPr>
          <w:rFonts w:ascii="Calibri" w:hAnsi="Calibri" w:cs="Arial"/>
        </w:rPr>
        <w:t>7</w:t>
      </w:r>
      <w:r w:rsidRPr="00B16490">
        <w:rPr>
          <w:rFonts w:ascii="Calibri" w:hAnsi="Calibri" w:cs="Arial"/>
        </w:rPr>
        <w:t xml:space="preserve"> as well as year </w:t>
      </w:r>
      <w:r>
        <w:rPr>
          <w:rFonts w:ascii="Calibri" w:hAnsi="Calibri" w:cs="Arial"/>
        </w:rPr>
        <w:t>8</w:t>
      </w:r>
      <w:r w:rsidRPr="00B16490">
        <w:rPr>
          <w:rFonts w:ascii="Calibri" w:hAnsi="Calibri" w:cs="Arial"/>
        </w:rPr>
        <w:t xml:space="preserve">. </w:t>
      </w:r>
    </w:p>
    <w:p w:rsidR="00B16121" w:rsidRPr="00B16490" w:rsidRDefault="00B16121" w:rsidP="00B16121">
      <w:pPr>
        <w:jc w:val="both"/>
        <w:rPr>
          <w:rFonts w:ascii="Calibri" w:hAnsi="Calibri" w:cs="Arial"/>
        </w:rPr>
      </w:pPr>
    </w:p>
    <w:p w:rsidR="00B16121" w:rsidRPr="00B16490" w:rsidRDefault="00B16121" w:rsidP="00B16121">
      <w:pPr>
        <w:jc w:val="both"/>
        <w:rPr>
          <w:rFonts w:ascii="Calibri" w:hAnsi="Calibri" w:cs="Arial"/>
        </w:rPr>
      </w:pPr>
      <w:r w:rsidRPr="004C569B">
        <w:rPr>
          <w:rFonts w:ascii="Calibri" w:hAnsi="Calibri" w:cs="Arial"/>
        </w:rPr>
        <w:t xml:space="preserve">These figures will be used to update the SCT’s New Homes Bonus calculator shortly. The calculator will include a full explanation of how allocations have been reached. DCLG has published a </w:t>
      </w:r>
      <w:hyperlink r:id="rId20" w:history="1">
        <w:r w:rsidRPr="004C569B">
          <w:rPr>
            <w:rStyle w:val="Hyperlink"/>
            <w:rFonts w:ascii="Calibri" w:hAnsi="Calibri" w:cs="Arial"/>
          </w:rPr>
          <w:t>New Homes Bonus Calculator</w:t>
        </w:r>
      </w:hyperlink>
      <w:r w:rsidRPr="004C569B">
        <w:rPr>
          <w:rFonts w:ascii="Calibri" w:hAnsi="Calibri" w:cs="Arial"/>
        </w:rPr>
        <w:t xml:space="preserve">. </w:t>
      </w:r>
    </w:p>
    <w:p w:rsidR="00B16121" w:rsidRDefault="00B16121" w:rsidP="00B16121"/>
    <w:p w:rsidR="004F35B5" w:rsidRDefault="004F35B5" w:rsidP="00B16121">
      <w:r w:rsidRPr="004F35B5">
        <w:rPr>
          <w:rFonts w:ascii="Calibri" w:eastAsia="Calibri" w:hAnsi="Calibri" w:cs="Arial"/>
          <w:b/>
        </w:rPr>
        <w:t>SCHOOL</w:t>
      </w:r>
      <w:r w:rsidR="001D077F">
        <w:rPr>
          <w:rFonts w:ascii="Calibri" w:eastAsia="Calibri" w:hAnsi="Calibri" w:cs="Arial"/>
          <w:b/>
        </w:rPr>
        <w:t>S FUNDING</w:t>
      </w:r>
    </w:p>
    <w:p w:rsidR="004F35B5" w:rsidRPr="001D077F" w:rsidRDefault="004F35B5" w:rsidP="00B16121">
      <w:pPr>
        <w:rPr>
          <w:rFonts w:asciiTheme="minorHAnsi" w:hAnsiTheme="minorHAnsi" w:cs="Arial"/>
        </w:rPr>
      </w:pPr>
      <w:r w:rsidRPr="004F35B5">
        <w:rPr>
          <w:rFonts w:ascii="Calibri" w:hAnsi="Calibri" w:cs="Arial"/>
        </w:rPr>
        <w:t xml:space="preserve">The Minister of State for School </w:t>
      </w:r>
      <w:r w:rsidRPr="00E5441E">
        <w:rPr>
          <w:rFonts w:ascii="Calibri" w:hAnsi="Calibri" w:cs="Arial"/>
        </w:rPr>
        <w:t xml:space="preserve">Standard, Nick Gibb, </w:t>
      </w:r>
      <w:r w:rsidRPr="00E5441E">
        <w:rPr>
          <w:rFonts w:asciiTheme="minorHAnsi" w:hAnsiTheme="minorHAnsi" w:cs="Arial"/>
        </w:rPr>
        <w:t xml:space="preserve">announced in a </w:t>
      </w:r>
      <w:hyperlink r:id="rId21" w:history="1">
        <w:r w:rsidRPr="00E5441E">
          <w:rPr>
            <w:rStyle w:val="Hyperlink"/>
            <w:rFonts w:asciiTheme="minorHAnsi" w:hAnsiTheme="minorHAnsi"/>
          </w:rPr>
          <w:t>written statement</w:t>
        </w:r>
      </w:hyperlink>
      <w:r w:rsidRPr="00E5441E">
        <w:rPr>
          <w:rFonts w:asciiTheme="minorHAnsi" w:hAnsiTheme="minorHAnsi" w:cs="Arial"/>
        </w:rPr>
        <w:t xml:space="preserve">, school and early years </w:t>
      </w:r>
      <w:hyperlink r:id="rId22" w:history="1">
        <w:r w:rsidRPr="00E5441E">
          <w:rPr>
            <w:rStyle w:val="Hyperlink"/>
            <w:rFonts w:asciiTheme="minorHAnsi" w:hAnsiTheme="minorHAnsi" w:cs="Arial"/>
          </w:rPr>
          <w:t>funding allocations for 2018-19</w:t>
        </w:r>
      </w:hyperlink>
      <w:r w:rsidRPr="00E5441E">
        <w:rPr>
          <w:rFonts w:asciiTheme="minorHAnsi" w:hAnsiTheme="minorHAnsi" w:cs="Arial"/>
        </w:rPr>
        <w:t xml:space="preserve"> covering Dedicated</w:t>
      </w:r>
      <w:r w:rsidRPr="00E5441E">
        <w:rPr>
          <w:rFonts w:ascii="Calibri" w:hAnsi="Calibri" w:cs="Arial"/>
        </w:rPr>
        <w:t xml:space="preserve"> Schools Grant (DSG), Education Services Grant (ESG) for academies</w:t>
      </w:r>
      <w:r w:rsidR="001D077F" w:rsidRPr="00E5441E">
        <w:rPr>
          <w:rFonts w:ascii="Calibri" w:hAnsi="Calibri" w:cs="Arial"/>
        </w:rPr>
        <w:t>,</w:t>
      </w:r>
      <w:r w:rsidRPr="00E5441E">
        <w:rPr>
          <w:rFonts w:ascii="Calibri" w:hAnsi="Calibri" w:cs="Arial"/>
        </w:rPr>
        <w:t xml:space="preserve"> Pupil</w:t>
      </w:r>
      <w:r w:rsidRPr="004F35B5">
        <w:rPr>
          <w:rFonts w:ascii="Calibri" w:hAnsi="Calibri" w:cs="Arial"/>
        </w:rPr>
        <w:t xml:space="preserve"> Premium</w:t>
      </w:r>
      <w:r w:rsidR="001D077F">
        <w:rPr>
          <w:rFonts w:ascii="Calibri" w:hAnsi="Calibri" w:cs="Arial"/>
        </w:rPr>
        <w:t xml:space="preserve"> and the additional £1</w:t>
      </w:r>
      <w:r w:rsidR="001D077F" w:rsidRPr="001D077F">
        <w:rPr>
          <w:rFonts w:asciiTheme="minorHAnsi" w:hAnsiTheme="minorHAnsi" w:cs="Arial"/>
        </w:rPr>
        <w:t>.3bn over the next two years to phase in the National Funding Formula (NFF)</w:t>
      </w:r>
    </w:p>
    <w:p w:rsidR="001D077F" w:rsidRPr="001D077F" w:rsidRDefault="001D077F" w:rsidP="001D077F">
      <w:pPr>
        <w:ind w:left="720" w:right="662"/>
        <w:rPr>
          <w:rFonts w:asciiTheme="minorHAnsi" w:hAnsiTheme="minorHAnsi" w:cs="Arial"/>
          <w:b/>
          <w:i/>
        </w:rPr>
      </w:pPr>
    </w:p>
    <w:p w:rsidR="004F35B5" w:rsidRPr="001D077F" w:rsidRDefault="004F35B5" w:rsidP="006D0527">
      <w:pPr>
        <w:ind w:right="662"/>
        <w:rPr>
          <w:rFonts w:asciiTheme="minorHAnsi" w:hAnsiTheme="minorHAnsi" w:cs="Arial"/>
        </w:rPr>
      </w:pPr>
      <w:r w:rsidRPr="001D077F">
        <w:rPr>
          <w:rFonts w:asciiTheme="minorHAnsi" w:hAnsiTheme="minorHAnsi" w:cs="Arial"/>
        </w:rPr>
        <w:t xml:space="preserve">In July 2017 the Education Secretary Justine Greening announced £1.3bn (£416m in 2018-19 and £884m in 2019-20) to phase in the NFF in 2020-21. During the two year transition period a “soft formula” will be implemented whereby schools allocations will be indicative allowing </w:t>
      </w:r>
      <w:r w:rsidR="006D0527">
        <w:rPr>
          <w:rFonts w:asciiTheme="minorHAnsi" w:hAnsiTheme="minorHAnsi" w:cs="Arial"/>
        </w:rPr>
        <w:t>LAs</w:t>
      </w:r>
      <w:r w:rsidRPr="001D077F">
        <w:rPr>
          <w:rFonts w:asciiTheme="minorHAnsi" w:hAnsiTheme="minorHAnsi" w:cs="Arial"/>
        </w:rPr>
        <w:t xml:space="preserve"> discretion over how it can be spent. From 20-21 the “hard formula” will allocate funding directly to schools. </w:t>
      </w:r>
    </w:p>
    <w:p w:rsidR="006D0527" w:rsidRDefault="006D0527" w:rsidP="006D0527">
      <w:pPr>
        <w:pStyle w:val="NormalWeb"/>
        <w:shd w:val="clear" w:color="auto" w:fill="FFFFFF"/>
        <w:spacing w:before="75" w:beforeAutospacing="0" w:after="0" w:afterAutospacing="0"/>
        <w:textAlignment w:val="baseline"/>
        <w:rPr>
          <w:rFonts w:ascii="Calibri" w:hAnsi="Calibri"/>
          <w:lang w:eastAsia="en-US"/>
        </w:rPr>
      </w:pPr>
    </w:p>
    <w:p w:rsidR="006D0527" w:rsidRDefault="006D0527" w:rsidP="006D0527">
      <w:pPr>
        <w:pStyle w:val="NormalWeb"/>
        <w:shd w:val="clear" w:color="auto" w:fill="FFFFFF"/>
        <w:spacing w:before="75" w:beforeAutospacing="0" w:after="0" w:afterAutospacing="0"/>
        <w:textAlignment w:val="baseline"/>
        <w:rPr>
          <w:rFonts w:ascii="Calibri" w:hAnsi="Calibri"/>
          <w:lang w:eastAsia="en-US"/>
        </w:rPr>
      </w:pPr>
      <w:r>
        <w:rPr>
          <w:rFonts w:ascii="Calibri" w:hAnsi="Calibri"/>
          <w:lang w:eastAsia="en-US"/>
        </w:rPr>
        <w:t xml:space="preserve">As previously announced, the distribution of the DSG to local authorities will be set out in four blocks for each authority: a schools block, a high needs block, an early </w:t>
      </w:r>
      <w:proofErr w:type="gramStart"/>
      <w:r>
        <w:rPr>
          <w:rFonts w:ascii="Calibri" w:hAnsi="Calibri"/>
          <w:lang w:eastAsia="en-US"/>
        </w:rPr>
        <w:t>years</w:t>
      </w:r>
      <w:proofErr w:type="gramEnd"/>
      <w:r>
        <w:rPr>
          <w:rFonts w:ascii="Calibri" w:hAnsi="Calibri"/>
          <w:lang w:eastAsia="en-US"/>
        </w:rPr>
        <w:t xml:space="preserve"> block, and the new central school services block.</w:t>
      </w:r>
    </w:p>
    <w:p w:rsidR="006D0527" w:rsidRPr="001D077F" w:rsidRDefault="006D0527" w:rsidP="004F35B5">
      <w:pPr>
        <w:rPr>
          <w:rFonts w:asciiTheme="minorHAnsi" w:hAnsiTheme="minorHAnsi" w:cs="Arial"/>
        </w:rPr>
      </w:pPr>
    </w:p>
    <w:p w:rsidR="004F35B5" w:rsidRPr="001D077F" w:rsidRDefault="001D077F" w:rsidP="004F35B5">
      <w:pPr>
        <w:rPr>
          <w:rFonts w:asciiTheme="minorHAnsi" w:hAnsiTheme="minorHAnsi" w:cs="Arial"/>
        </w:rPr>
      </w:pPr>
      <w:r w:rsidRPr="001D077F">
        <w:rPr>
          <w:rFonts w:asciiTheme="minorHAnsi" w:hAnsiTheme="minorHAnsi" w:cs="Arial"/>
        </w:rPr>
        <w:t>Nick Gibb confirmed that ESG has been maintained at current rates “</w:t>
      </w:r>
      <w:r w:rsidRPr="001D077F">
        <w:rPr>
          <w:rFonts w:asciiTheme="minorHAnsi" w:hAnsiTheme="minorHAnsi"/>
          <w:color w:val="000000"/>
          <w:shd w:val="clear" w:color="auto" w:fill="FFFFFF"/>
        </w:rPr>
        <w:t>to protect academies from excessive changes in funding as a result of the ending of the ESG”.</w:t>
      </w:r>
    </w:p>
    <w:p w:rsidR="004F35B5" w:rsidRPr="00AA032D" w:rsidRDefault="004F35B5" w:rsidP="00066949">
      <w:pPr>
        <w:jc w:val="both"/>
        <w:rPr>
          <w:rFonts w:asciiTheme="minorHAnsi" w:eastAsia="Calibri" w:hAnsiTheme="minorHAnsi" w:cs="Arial"/>
          <w:b/>
        </w:rPr>
      </w:pPr>
    </w:p>
    <w:p w:rsidR="006D0527" w:rsidRPr="00AA032D" w:rsidRDefault="006D0527" w:rsidP="006D0527">
      <w:pPr>
        <w:jc w:val="both"/>
        <w:rPr>
          <w:rFonts w:ascii="Calibri" w:eastAsia="Calibri" w:hAnsi="Calibri" w:cs="Arial"/>
        </w:rPr>
      </w:pPr>
      <w:r w:rsidRPr="00AA032D">
        <w:rPr>
          <w:rFonts w:ascii="Calibri" w:eastAsia="Calibri" w:hAnsi="Calibri" w:cs="Arial"/>
        </w:rPr>
        <w:t xml:space="preserve">Allocations by SCT members can be found in Annex </w:t>
      </w:r>
      <w:r w:rsidR="00AA032D" w:rsidRPr="00AA032D">
        <w:rPr>
          <w:rFonts w:ascii="Calibri" w:eastAsia="Calibri" w:hAnsi="Calibri" w:cs="Arial"/>
        </w:rPr>
        <w:t>A</w:t>
      </w:r>
      <w:r w:rsidRPr="00AA032D">
        <w:rPr>
          <w:rFonts w:ascii="Calibri" w:eastAsia="Calibri" w:hAnsi="Calibri" w:cs="Arial"/>
        </w:rPr>
        <w:t xml:space="preserve"> of this briefing. </w:t>
      </w:r>
    </w:p>
    <w:p w:rsidR="006D0527" w:rsidRPr="001D077F" w:rsidRDefault="006D0527" w:rsidP="00066949">
      <w:pPr>
        <w:jc w:val="both"/>
        <w:rPr>
          <w:rFonts w:asciiTheme="minorHAnsi" w:eastAsia="Calibri" w:hAnsiTheme="minorHAnsi" w:cs="Arial"/>
          <w:b/>
          <w:highlight w:val="cyan"/>
        </w:rPr>
      </w:pPr>
    </w:p>
    <w:p w:rsidR="004F35B5" w:rsidRDefault="001D077F" w:rsidP="00066949">
      <w:pPr>
        <w:jc w:val="both"/>
        <w:rPr>
          <w:rFonts w:asciiTheme="minorHAnsi" w:hAnsiTheme="minorHAnsi"/>
          <w:color w:val="000000"/>
          <w:shd w:val="clear" w:color="auto" w:fill="FFFFFF"/>
        </w:rPr>
      </w:pPr>
      <w:r w:rsidRPr="001D077F">
        <w:rPr>
          <w:rFonts w:asciiTheme="minorHAnsi" w:hAnsiTheme="minorHAnsi"/>
          <w:color w:val="000000"/>
          <w:shd w:val="clear" w:color="auto" w:fill="FFFFFF"/>
        </w:rPr>
        <w:lastRenderedPageBreak/>
        <w:t>Pupil premium per pupil amounts have also been maintained at the current rates, with the exception of the pupil premium plus, which will increase from £1,900 per pupil to £2,300, as previously announced. The amounts for 2018-19 will be:</w:t>
      </w:r>
    </w:p>
    <w:p w:rsidR="006D0527" w:rsidRDefault="006D0527" w:rsidP="00066949">
      <w:pPr>
        <w:jc w:val="both"/>
        <w:rPr>
          <w:rFonts w:asciiTheme="minorHAnsi" w:hAnsiTheme="minorHAnsi"/>
          <w:color w:val="000000"/>
          <w:shd w:val="clear" w:color="auto" w:fill="FFFFFF"/>
        </w:rPr>
      </w:pPr>
    </w:p>
    <w:tbl>
      <w:tblPr>
        <w:tblW w:w="0" w:type="auto"/>
        <w:jc w:val="center"/>
        <w:tblCellMar>
          <w:left w:w="0" w:type="dxa"/>
          <w:right w:w="0" w:type="dxa"/>
        </w:tblCellMar>
        <w:tblLook w:val="04A0" w:firstRow="1" w:lastRow="0" w:firstColumn="1" w:lastColumn="0" w:noHBand="0" w:noVBand="1"/>
      </w:tblPr>
      <w:tblGrid>
        <w:gridCol w:w="3430"/>
        <w:gridCol w:w="2477"/>
        <w:gridCol w:w="2477"/>
      </w:tblGrid>
      <w:tr w:rsidR="006D0527" w:rsidRPr="006D0527" w:rsidTr="006D0527">
        <w:trPr>
          <w:jc w:val="center"/>
        </w:trPr>
        <w:tc>
          <w:tcPr>
            <w:tcW w:w="0" w:type="auto"/>
            <w:tcBorders>
              <w:top w:val="single" w:sz="8" w:space="0" w:color="auto"/>
              <w:left w:val="nil"/>
              <w:bottom w:val="single" w:sz="8" w:space="0" w:color="auto"/>
              <w:right w:val="nil"/>
            </w:tcBorders>
            <w:tcMar>
              <w:top w:w="0" w:type="dxa"/>
              <w:left w:w="108" w:type="dxa"/>
              <w:bottom w:w="0" w:type="dxa"/>
              <w:right w:w="108" w:type="dxa"/>
            </w:tcMar>
            <w:hideMark/>
          </w:tcPr>
          <w:p w:rsidR="006D0527" w:rsidRPr="006D0527" w:rsidRDefault="006D0527">
            <w:pPr>
              <w:jc w:val="center"/>
              <w:rPr>
                <w:rFonts w:asciiTheme="minorHAnsi" w:eastAsiaTheme="minorHAnsi" w:hAnsiTheme="minorHAnsi"/>
                <w:b/>
                <w:bCs/>
                <w:sz w:val="22"/>
                <w:szCs w:val="22"/>
              </w:rPr>
            </w:pPr>
            <w:r w:rsidRPr="006D0527">
              <w:rPr>
                <w:rFonts w:asciiTheme="minorHAnsi" w:hAnsiTheme="minorHAnsi"/>
                <w:b/>
                <w:bCs/>
              </w:rPr>
              <w:t>Pupils</w:t>
            </w:r>
          </w:p>
        </w:tc>
        <w:tc>
          <w:tcPr>
            <w:tcW w:w="0" w:type="auto"/>
            <w:tcBorders>
              <w:top w:val="single" w:sz="8" w:space="0" w:color="auto"/>
              <w:left w:val="nil"/>
              <w:bottom w:val="single" w:sz="8" w:space="0" w:color="auto"/>
              <w:right w:val="nil"/>
            </w:tcBorders>
            <w:tcMar>
              <w:top w:w="0" w:type="dxa"/>
              <w:left w:w="108" w:type="dxa"/>
              <w:bottom w:w="0" w:type="dxa"/>
              <w:right w:w="108" w:type="dxa"/>
            </w:tcMar>
            <w:hideMark/>
          </w:tcPr>
          <w:p w:rsidR="006D0527" w:rsidRPr="006D0527" w:rsidRDefault="006D0527">
            <w:pPr>
              <w:jc w:val="center"/>
              <w:rPr>
                <w:rFonts w:asciiTheme="minorHAnsi" w:eastAsiaTheme="minorHAnsi" w:hAnsiTheme="minorHAnsi"/>
                <w:b/>
                <w:bCs/>
                <w:sz w:val="22"/>
                <w:szCs w:val="22"/>
              </w:rPr>
            </w:pPr>
            <w:r w:rsidRPr="006D0527">
              <w:rPr>
                <w:rFonts w:asciiTheme="minorHAnsi" w:hAnsiTheme="minorHAnsi"/>
                <w:b/>
                <w:bCs/>
              </w:rPr>
              <w:t>Per Pupil Rate 2017-18</w:t>
            </w:r>
          </w:p>
        </w:tc>
        <w:tc>
          <w:tcPr>
            <w:tcW w:w="0" w:type="auto"/>
            <w:tcBorders>
              <w:top w:val="single" w:sz="8" w:space="0" w:color="auto"/>
              <w:left w:val="nil"/>
              <w:bottom w:val="single" w:sz="8" w:space="0" w:color="auto"/>
              <w:right w:val="nil"/>
            </w:tcBorders>
            <w:tcMar>
              <w:top w:w="0" w:type="dxa"/>
              <w:left w:w="108" w:type="dxa"/>
              <w:bottom w:w="0" w:type="dxa"/>
              <w:right w:w="108" w:type="dxa"/>
            </w:tcMar>
            <w:hideMark/>
          </w:tcPr>
          <w:p w:rsidR="006D0527" w:rsidRPr="006D0527" w:rsidRDefault="006D0527">
            <w:pPr>
              <w:jc w:val="center"/>
              <w:rPr>
                <w:rFonts w:asciiTheme="minorHAnsi" w:eastAsiaTheme="minorHAnsi" w:hAnsiTheme="minorHAnsi"/>
                <w:b/>
                <w:bCs/>
                <w:sz w:val="22"/>
                <w:szCs w:val="22"/>
              </w:rPr>
            </w:pPr>
            <w:r w:rsidRPr="006D0527">
              <w:rPr>
                <w:rFonts w:asciiTheme="minorHAnsi" w:hAnsiTheme="minorHAnsi"/>
                <w:b/>
                <w:bCs/>
              </w:rPr>
              <w:t>Per Pupil Rate 2018-19</w:t>
            </w:r>
          </w:p>
        </w:tc>
      </w:tr>
      <w:tr w:rsidR="006D0527" w:rsidRPr="006D0527" w:rsidTr="006D0527">
        <w:trPr>
          <w:jc w:val="center"/>
        </w:trPr>
        <w:tc>
          <w:tcPr>
            <w:tcW w:w="0" w:type="auto"/>
            <w:tcMar>
              <w:top w:w="0" w:type="dxa"/>
              <w:left w:w="108" w:type="dxa"/>
              <w:bottom w:w="0" w:type="dxa"/>
              <w:right w:w="108" w:type="dxa"/>
            </w:tcMar>
            <w:hideMark/>
          </w:tcPr>
          <w:p w:rsidR="006D0527" w:rsidRPr="006D0527" w:rsidRDefault="006D0527">
            <w:pPr>
              <w:rPr>
                <w:rFonts w:asciiTheme="minorHAnsi" w:eastAsiaTheme="minorHAnsi" w:hAnsiTheme="minorHAnsi"/>
                <w:sz w:val="22"/>
                <w:szCs w:val="22"/>
              </w:rPr>
            </w:pPr>
            <w:r w:rsidRPr="006D0527">
              <w:rPr>
                <w:rFonts w:asciiTheme="minorHAnsi" w:hAnsiTheme="minorHAnsi"/>
              </w:rPr>
              <w:t>Disadvantaged pupils: Primary</w:t>
            </w:r>
          </w:p>
        </w:tc>
        <w:tc>
          <w:tcPr>
            <w:tcW w:w="0" w:type="auto"/>
            <w:tcMar>
              <w:top w:w="0" w:type="dxa"/>
              <w:left w:w="108" w:type="dxa"/>
              <w:bottom w:w="0" w:type="dxa"/>
              <w:right w:w="108" w:type="dxa"/>
            </w:tcMar>
            <w:hideMark/>
          </w:tcPr>
          <w:p w:rsidR="006D0527" w:rsidRPr="006D0527" w:rsidRDefault="006D0527">
            <w:pPr>
              <w:rPr>
                <w:rFonts w:asciiTheme="minorHAnsi" w:eastAsiaTheme="minorHAnsi" w:hAnsiTheme="minorHAnsi"/>
                <w:sz w:val="22"/>
                <w:szCs w:val="22"/>
              </w:rPr>
            </w:pPr>
            <w:r w:rsidRPr="006D0527">
              <w:rPr>
                <w:rFonts w:asciiTheme="minorHAnsi" w:hAnsiTheme="minorHAnsi"/>
              </w:rPr>
              <w:t>£1,320</w:t>
            </w:r>
          </w:p>
        </w:tc>
        <w:tc>
          <w:tcPr>
            <w:tcW w:w="0" w:type="auto"/>
            <w:tcMar>
              <w:top w:w="0" w:type="dxa"/>
              <w:left w:w="108" w:type="dxa"/>
              <w:bottom w:w="0" w:type="dxa"/>
              <w:right w:w="108" w:type="dxa"/>
            </w:tcMar>
            <w:hideMark/>
          </w:tcPr>
          <w:p w:rsidR="006D0527" w:rsidRPr="006D0527" w:rsidRDefault="006D0527">
            <w:pPr>
              <w:rPr>
                <w:rFonts w:asciiTheme="minorHAnsi" w:eastAsiaTheme="minorHAnsi" w:hAnsiTheme="minorHAnsi"/>
                <w:sz w:val="22"/>
                <w:szCs w:val="22"/>
              </w:rPr>
            </w:pPr>
            <w:r w:rsidRPr="006D0527">
              <w:rPr>
                <w:rFonts w:asciiTheme="minorHAnsi" w:hAnsiTheme="minorHAnsi"/>
              </w:rPr>
              <w:t>£1,320</w:t>
            </w:r>
          </w:p>
        </w:tc>
      </w:tr>
      <w:tr w:rsidR="006D0527" w:rsidRPr="006D0527" w:rsidTr="006D0527">
        <w:trPr>
          <w:jc w:val="center"/>
        </w:trPr>
        <w:tc>
          <w:tcPr>
            <w:tcW w:w="0" w:type="auto"/>
            <w:tcMar>
              <w:top w:w="0" w:type="dxa"/>
              <w:left w:w="108" w:type="dxa"/>
              <w:bottom w:w="0" w:type="dxa"/>
              <w:right w:w="108" w:type="dxa"/>
            </w:tcMar>
            <w:hideMark/>
          </w:tcPr>
          <w:p w:rsidR="006D0527" w:rsidRPr="006D0527" w:rsidRDefault="006D0527">
            <w:pPr>
              <w:rPr>
                <w:rFonts w:asciiTheme="minorHAnsi" w:eastAsiaTheme="minorHAnsi" w:hAnsiTheme="minorHAnsi"/>
                <w:sz w:val="22"/>
                <w:szCs w:val="22"/>
              </w:rPr>
            </w:pPr>
            <w:r w:rsidRPr="006D0527">
              <w:rPr>
                <w:rFonts w:asciiTheme="minorHAnsi" w:hAnsiTheme="minorHAnsi"/>
              </w:rPr>
              <w:t>Disadvantaged pupils: Secondary</w:t>
            </w:r>
          </w:p>
        </w:tc>
        <w:tc>
          <w:tcPr>
            <w:tcW w:w="0" w:type="auto"/>
            <w:tcMar>
              <w:top w:w="0" w:type="dxa"/>
              <w:left w:w="108" w:type="dxa"/>
              <w:bottom w:w="0" w:type="dxa"/>
              <w:right w:w="108" w:type="dxa"/>
            </w:tcMar>
            <w:hideMark/>
          </w:tcPr>
          <w:p w:rsidR="006D0527" w:rsidRPr="006D0527" w:rsidRDefault="006D0527">
            <w:pPr>
              <w:rPr>
                <w:rFonts w:asciiTheme="minorHAnsi" w:eastAsiaTheme="minorHAnsi" w:hAnsiTheme="minorHAnsi"/>
                <w:sz w:val="22"/>
                <w:szCs w:val="22"/>
              </w:rPr>
            </w:pPr>
            <w:r w:rsidRPr="006D0527">
              <w:rPr>
                <w:rFonts w:asciiTheme="minorHAnsi" w:hAnsiTheme="minorHAnsi"/>
              </w:rPr>
              <w:t>£935</w:t>
            </w:r>
          </w:p>
        </w:tc>
        <w:tc>
          <w:tcPr>
            <w:tcW w:w="0" w:type="auto"/>
            <w:tcMar>
              <w:top w:w="0" w:type="dxa"/>
              <w:left w:w="108" w:type="dxa"/>
              <w:bottom w:w="0" w:type="dxa"/>
              <w:right w:w="108" w:type="dxa"/>
            </w:tcMar>
            <w:hideMark/>
          </w:tcPr>
          <w:p w:rsidR="006D0527" w:rsidRPr="006D0527" w:rsidRDefault="006D0527">
            <w:pPr>
              <w:rPr>
                <w:rFonts w:asciiTheme="minorHAnsi" w:eastAsiaTheme="minorHAnsi" w:hAnsiTheme="minorHAnsi"/>
                <w:sz w:val="22"/>
                <w:szCs w:val="22"/>
              </w:rPr>
            </w:pPr>
            <w:r w:rsidRPr="006D0527">
              <w:rPr>
                <w:rFonts w:asciiTheme="minorHAnsi" w:hAnsiTheme="minorHAnsi"/>
              </w:rPr>
              <w:t>£935</w:t>
            </w:r>
          </w:p>
        </w:tc>
      </w:tr>
      <w:tr w:rsidR="006D0527" w:rsidRPr="006D0527" w:rsidTr="006D0527">
        <w:trPr>
          <w:jc w:val="center"/>
        </w:trPr>
        <w:tc>
          <w:tcPr>
            <w:tcW w:w="0" w:type="auto"/>
            <w:tcMar>
              <w:top w:w="0" w:type="dxa"/>
              <w:left w:w="108" w:type="dxa"/>
              <w:bottom w:w="0" w:type="dxa"/>
              <w:right w:w="108" w:type="dxa"/>
            </w:tcMar>
            <w:hideMark/>
          </w:tcPr>
          <w:p w:rsidR="006D0527" w:rsidRPr="006D0527" w:rsidRDefault="006D0527">
            <w:pPr>
              <w:rPr>
                <w:rFonts w:asciiTheme="minorHAnsi" w:eastAsiaTheme="minorHAnsi" w:hAnsiTheme="minorHAnsi"/>
                <w:sz w:val="22"/>
                <w:szCs w:val="22"/>
                <w:vertAlign w:val="superscript"/>
              </w:rPr>
            </w:pPr>
            <w:r w:rsidRPr="006D0527">
              <w:rPr>
                <w:rFonts w:asciiTheme="minorHAnsi" w:hAnsiTheme="minorHAnsi"/>
              </w:rPr>
              <w:t xml:space="preserve">Pupil Premium Plus </w:t>
            </w:r>
            <w:r w:rsidRPr="006D0527">
              <w:rPr>
                <w:rStyle w:val="FootnoteReference"/>
                <w:rFonts w:asciiTheme="minorHAnsi" w:hAnsiTheme="minorHAnsi"/>
                <w:color w:val="000000"/>
                <w:lang w:eastAsia="en-GB"/>
              </w:rPr>
              <w:footnoteReference w:id="2"/>
            </w:r>
          </w:p>
        </w:tc>
        <w:tc>
          <w:tcPr>
            <w:tcW w:w="0" w:type="auto"/>
            <w:tcMar>
              <w:top w:w="0" w:type="dxa"/>
              <w:left w:w="108" w:type="dxa"/>
              <w:bottom w:w="0" w:type="dxa"/>
              <w:right w:w="108" w:type="dxa"/>
            </w:tcMar>
            <w:hideMark/>
          </w:tcPr>
          <w:p w:rsidR="006D0527" w:rsidRPr="006D0527" w:rsidRDefault="006D0527">
            <w:pPr>
              <w:rPr>
                <w:rFonts w:asciiTheme="minorHAnsi" w:eastAsiaTheme="minorHAnsi" w:hAnsiTheme="minorHAnsi"/>
                <w:sz w:val="22"/>
                <w:szCs w:val="22"/>
              </w:rPr>
            </w:pPr>
            <w:r w:rsidRPr="006D0527">
              <w:rPr>
                <w:rFonts w:asciiTheme="minorHAnsi" w:hAnsiTheme="minorHAnsi"/>
              </w:rPr>
              <w:t>£1,900</w:t>
            </w:r>
          </w:p>
        </w:tc>
        <w:tc>
          <w:tcPr>
            <w:tcW w:w="0" w:type="auto"/>
            <w:tcMar>
              <w:top w:w="0" w:type="dxa"/>
              <w:left w:w="108" w:type="dxa"/>
              <w:bottom w:w="0" w:type="dxa"/>
              <w:right w:w="108" w:type="dxa"/>
            </w:tcMar>
            <w:hideMark/>
          </w:tcPr>
          <w:p w:rsidR="006D0527" w:rsidRPr="006D0527" w:rsidRDefault="006D0527">
            <w:pPr>
              <w:rPr>
                <w:rFonts w:asciiTheme="minorHAnsi" w:eastAsiaTheme="minorHAnsi" w:hAnsiTheme="minorHAnsi"/>
                <w:sz w:val="22"/>
                <w:szCs w:val="22"/>
              </w:rPr>
            </w:pPr>
            <w:r w:rsidRPr="006D0527">
              <w:rPr>
                <w:rFonts w:asciiTheme="minorHAnsi" w:hAnsiTheme="minorHAnsi"/>
              </w:rPr>
              <w:t>£2,300</w:t>
            </w:r>
          </w:p>
        </w:tc>
      </w:tr>
      <w:tr w:rsidR="006D0527" w:rsidRPr="006D0527" w:rsidTr="006D0527">
        <w:trPr>
          <w:jc w:val="center"/>
        </w:trPr>
        <w:tc>
          <w:tcPr>
            <w:tcW w:w="0" w:type="auto"/>
            <w:tcBorders>
              <w:top w:val="nil"/>
              <w:left w:val="nil"/>
              <w:bottom w:val="single" w:sz="8" w:space="0" w:color="auto"/>
              <w:right w:val="nil"/>
            </w:tcBorders>
            <w:tcMar>
              <w:top w:w="0" w:type="dxa"/>
              <w:left w:w="108" w:type="dxa"/>
              <w:bottom w:w="0" w:type="dxa"/>
              <w:right w:w="108" w:type="dxa"/>
            </w:tcMar>
            <w:hideMark/>
          </w:tcPr>
          <w:p w:rsidR="006D0527" w:rsidRPr="006D0527" w:rsidRDefault="006D0527">
            <w:pPr>
              <w:rPr>
                <w:rFonts w:asciiTheme="minorHAnsi" w:eastAsiaTheme="minorHAnsi" w:hAnsiTheme="minorHAnsi"/>
                <w:sz w:val="22"/>
                <w:szCs w:val="22"/>
              </w:rPr>
            </w:pPr>
            <w:r w:rsidRPr="006D0527">
              <w:rPr>
                <w:rFonts w:asciiTheme="minorHAnsi" w:hAnsiTheme="minorHAnsi"/>
              </w:rPr>
              <w:t>Service Children</w:t>
            </w:r>
          </w:p>
        </w:tc>
        <w:tc>
          <w:tcPr>
            <w:tcW w:w="0" w:type="auto"/>
            <w:tcBorders>
              <w:top w:val="nil"/>
              <w:left w:val="nil"/>
              <w:bottom w:val="single" w:sz="8" w:space="0" w:color="auto"/>
              <w:right w:val="nil"/>
            </w:tcBorders>
            <w:tcMar>
              <w:top w:w="0" w:type="dxa"/>
              <w:left w:w="108" w:type="dxa"/>
              <w:bottom w:w="0" w:type="dxa"/>
              <w:right w:w="108" w:type="dxa"/>
            </w:tcMar>
            <w:hideMark/>
          </w:tcPr>
          <w:p w:rsidR="006D0527" w:rsidRPr="006D0527" w:rsidRDefault="006D0527">
            <w:pPr>
              <w:rPr>
                <w:rFonts w:asciiTheme="minorHAnsi" w:eastAsiaTheme="minorHAnsi" w:hAnsiTheme="minorHAnsi"/>
                <w:sz w:val="22"/>
                <w:szCs w:val="22"/>
              </w:rPr>
            </w:pPr>
            <w:r w:rsidRPr="006D0527">
              <w:rPr>
                <w:rFonts w:asciiTheme="minorHAnsi" w:hAnsiTheme="minorHAnsi"/>
              </w:rPr>
              <w:t>£300</w:t>
            </w:r>
          </w:p>
        </w:tc>
        <w:tc>
          <w:tcPr>
            <w:tcW w:w="0" w:type="auto"/>
            <w:tcBorders>
              <w:top w:val="nil"/>
              <w:left w:val="nil"/>
              <w:bottom w:val="single" w:sz="8" w:space="0" w:color="auto"/>
              <w:right w:val="nil"/>
            </w:tcBorders>
            <w:tcMar>
              <w:top w:w="0" w:type="dxa"/>
              <w:left w:w="108" w:type="dxa"/>
              <w:bottom w:w="0" w:type="dxa"/>
              <w:right w:w="108" w:type="dxa"/>
            </w:tcMar>
            <w:hideMark/>
          </w:tcPr>
          <w:p w:rsidR="006D0527" w:rsidRPr="006D0527" w:rsidRDefault="006D0527">
            <w:pPr>
              <w:rPr>
                <w:rFonts w:asciiTheme="minorHAnsi" w:eastAsiaTheme="minorHAnsi" w:hAnsiTheme="minorHAnsi"/>
                <w:sz w:val="22"/>
                <w:szCs w:val="22"/>
              </w:rPr>
            </w:pPr>
            <w:r w:rsidRPr="006D0527">
              <w:rPr>
                <w:rFonts w:asciiTheme="minorHAnsi" w:hAnsiTheme="minorHAnsi"/>
              </w:rPr>
              <w:t>£300</w:t>
            </w:r>
          </w:p>
        </w:tc>
      </w:tr>
    </w:tbl>
    <w:p w:rsidR="001D077F" w:rsidRPr="006D0527" w:rsidRDefault="001D077F" w:rsidP="00066949">
      <w:pPr>
        <w:jc w:val="both"/>
        <w:rPr>
          <w:rFonts w:asciiTheme="minorHAnsi" w:eastAsia="Calibri" w:hAnsiTheme="minorHAnsi" w:cs="Arial"/>
          <w:b/>
          <w:highlight w:val="cyan"/>
        </w:rPr>
      </w:pPr>
    </w:p>
    <w:p w:rsidR="004F35B5" w:rsidRPr="001D077F" w:rsidRDefault="006D0527" w:rsidP="00066949">
      <w:pPr>
        <w:jc w:val="both"/>
        <w:rPr>
          <w:rFonts w:asciiTheme="minorHAnsi" w:eastAsia="Calibri" w:hAnsiTheme="minorHAnsi" w:cs="Arial"/>
          <w:b/>
          <w:highlight w:val="cyan"/>
        </w:rPr>
      </w:pPr>
      <w:r>
        <w:rPr>
          <w:rFonts w:asciiTheme="minorHAnsi" w:hAnsiTheme="minorHAnsi"/>
          <w:color w:val="000000"/>
          <w:shd w:val="clear" w:color="auto" w:fill="FFFFFF"/>
        </w:rPr>
        <w:t>20</w:t>
      </w:r>
      <w:r w:rsidR="001D077F" w:rsidRPr="001D077F">
        <w:rPr>
          <w:rFonts w:asciiTheme="minorHAnsi" w:hAnsiTheme="minorHAnsi"/>
          <w:color w:val="000000"/>
          <w:shd w:val="clear" w:color="auto" w:fill="FFFFFF"/>
        </w:rPr>
        <w:t>18-19 pupil premium allocations will be published in June 2018 in order to incorporate pupil number data from the spring 2018 schools and alternative provision censuses.</w:t>
      </w:r>
    </w:p>
    <w:p w:rsidR="001D077F" w:rsidRDefault="001D077F" w:rsidP="00066949">
      <w:pPr>
        <w:jc w:val="both"/>
        <w:rPr>
          <w:rFonts w:ascii="Calibri" w:eastAsia="Calibri" w:hAnsi="Calibri" w:cs="Arial"/>
          <w:b/>
          <w:highlight w:val="cyan"/>
        </w:rPr>
      </w:pPr>
    </w:p>
    <w:p w:rsidR="00066949" w:rsidRPr="0016480E" w:rsidRDefault="00066949" w:rsidP="00066949">
      <w:pPr>
        <w:jc w:val="both"/>
        <w:rPr>
          <w:rFonts w:asciiTheme="minorHAnsi" w:hAnsiTheme="minorHAnsi"/>
          <w:b/>
          <w:color w:val="000000"/>
          <w:shd w:val="clear" w:color="auto" w:fill="FFFFFF"/>
        </w:rPr>
      </w:pPr>
      <w:r w:rsidRPr="0016480E">
        <w:rPr>
          <w:rFonts w:asciiTheme="minorHAnsi" w:hAnsiTheme="minorHAnsi"/>
          <w:b/>
          <w:color w:val="000000"/>
          <w:shd w:val="clear" w:color="auto" w:fill="FFFFFF"/>
        </w:rPr>
        <w:t>HEALTH AND SOCIAL CARE</w:t>
      </w:r>
    </w:p>
    <w:p w:rsidR="00066949" w:rsidRPr="0016480E" w:rsidRDefault="00066949" w:rsidP="00066949">
      <w:pPr>
        <w:jc w:val="both"/>
        <w:rPr>
          <w:rFonts w:asciiTheme="minorHAnsi" w:hAnsiTheme="minorHAnsi"/>
          <w:b/>
          <w:color w:val="000000"/>
          <w:shd w:val="clear" w:color="auto" w:fill="FFFFFF"/>
        </w:rPr>
      </w:pPr>
    </w:p>
    <w:p w:rsidR="0016480E" w:rsidRPr="0016480E" w:rsidRDefault="0016480E" w:rsidP="00066949">
      <w:pPr>
        <w:jc w:val="both"/>
        <w:rPr>
          <w:rFonts w:asciiTheme="minorHAnsi" w:hAnsiTheme="minorHAnsi"/>
          <w:b/>
          <w:color w:val="000000"/>
          <w:shd w:val="clear" w:color="auto" w:fill="FFFFFF"/>
        </w:rPr>
      </w:pPr>
      <w:r w:rsidRPr="0016480E">
        <w:rPr>
          <w:rFonts w:asciiTheme="minorHAnsi" w:hAnsiTheme="minorHAnsi"/>
          <w:b/>
          <w:color w:val="000000"/>
          <w:shd w:val="clear" w:color="auto" w:fill="FFFFFF"/>
        </w:rPr>
        <w:t>Green Paper</w:t>
      </w:r>
    </w:p>
    <w:p w:rsidR="0016480E" w:rsidRDefault="0016480E" w:rsidP="00066949">
      <w:pPr>
        <w:jc w:val="both"/>
        <w:rPr>
          <w:rFonts w:asciiTheme="minorHAnsi" w:hAnsiTheme="minorHAnsi"/>
          <w:color w:val="000000"/>
          <w:shd w:val="clear" w:color="auto" w:fill="FFFFFF"/>
        </w:rPr>
      </w:pPr>
      <w:r w:rsidRPr="0016480E">
        <w:rPr>
          <w:rFonts w:asciiTheme="minorHAnsi" w:hAnsiTheme="minorHAnsi"/>
          <w:color w:val="000000"/>
          <w:shd w:val="clear" w:color="auto" w:fill="FFFFFF"/>
        </w:rPr>
        <w:t>Sajid Javid reconfirmed that the expected Green Paper</w:t>
      </w:r>
      <w:r>
        <w:rPr>
          <w:rFonts w:asciiTheme="minorHAnsi" w:hAnsiTheme="minorHAnsi"/>
          <w:color w:val="000000"/>
          <w:shd w:val="clear" w:color="auto" w:fill="FFFFFF"/>
        </w:rPr>
        <w:t xml:space="preserve"> </w:t>
      </w:r>
      <w:r w:rsidRPr="0016480E">
        <w:rPr>
          <w:rFonts w:asciiTheme="minorHAnsi" w:hAnsiTheme="minorHAnsi"/>
          <w:color w:val="000000"/>
          <w:shd w:val="clear" w:color="auto" w:fill="FFFFFF"/>
        </w:rPr>
        <w:t xml:space="preserve">for Adult Social Care will be published in summer 2018. </w:t>
      </w:r>
    </w:p>
    <w:p w:rsidR="00065CDA" w:rsidRDefault="00065CDA" w:rsidP="00066949">
      <w:pPr>
        <w:jc w:val="both"/>
        <w:rPr>
          <w:rFonts w:asciiTheme="minorHAnsi" w:hAnsiTheme="minorHAnsi"/>
          <w:color w:val="000000"/>
          <w:shd w:val="clear" w:color="auto" w:fill="FFFFFF"/>
        </w:rPr>
      </w:pPr>
    </w:p>
    <w:p w:rsidR="00065CDA" w:rsidRPr="0016480E" w:rsidRDefault="00065CDA" w:rsidP="00066949">
      <w:pPr>
        <w:jc w:val="both"/>
        <w:rPr>
          <w:rFonts w:asciiTheme="minorHAnsi" w:hAnsiTheme="minorHAnsi"/>
          <w:color w:val="000000"/>
          <w:shd w:val="clear" w:color="auto" w:fill="FFFFFF"/>
        </w:rPr>
      </w:pPr>
      <w:r>
        <w:rPr>
          <w:rFonts w:asciiTheme="minorHAnsi" w:hAnsiTheme="minorHAnsi"/>
          <w:color w:val="000000"/>
          <w:shd w:val="clear" w:color="auto" w:fill="FFFFFF"/>
        </w:rPr>
        <w:t xml:space="preserve">No new </w:t>
      </w:r>
      <w:r w:rsidR="007C697A">
        <w:rPr>
          <w:rFonts w:asciiTheme="minorHAnsi" w:hAnsiTheme="minorHAnsi"/>
          <w:color w:val="000000"/>
          <w:shd w:val="clear" w:color="auto" w:fill="FFFFFF"/>
        </w:rPr>
        <w:t xml:space="preserve">funding </w:t>
      </w:r>
      <w:r>
        <w:rPr>
          <w:rFonts w:asciiTheme="minorHAnsi" w:hAnsiTheme="minorHAnsi"/>
          <w:color w:val="000000"/>
          <w:shd w:val="clear" w:color="auto" w:fill="FFFFFF"/>
        </w:rPr>
        <w:t xml:space="preserve">announcements were made </w:t>
      </w:r>
      <w:r w:rsidR="007C697A">
        <w:rPr>
          <w:rFonts w:asciiTheme="minorHAnsi" w:hAnsiTheme="minorHAnsi"/>
          <w:color w:val="000000"/>
          <w:shd w:val="clear" w:color="auto" w:fill="FFFFFF"/>
        </w:rPr>
        <w:t xml:space="preserve">for adult social care </w:t>
      </w:r>
      <w:r>
        <w:rPr>
          <w:rFonts w:asciiTheme="minorHAnsi" w:hAnsiTheme="minorHAnsi"/>
          <w:color w:val="000000"/>
          <w:shd w:val="clear" w:color="auto" w:fill="FFFFFF"/>
        </w:rPr>
        <w:t>or children’s social care funding</w:t>
      </w:r>
      <w:r w:rsidR="00633D67">
        <w:rPr>
          <w:rFonts w:asciiTheme="minorHAnsi" w:hAnsiTheme="minorHAnsi"/>
          <w:color w:val="000000"/>
          <w:shd w:val="clear" w:color="auto" w:fill="FFFFFF"/>
        </w:rPr>
        <w:t>.</w:t>
      </w:r>
    </w:p>
    <w:p w:rsidR="0016480E" w:rsidRPr="00A47228" w:rsidRDefault="0016480E" w:rsidP="00066949">
      <w:pPr>
        <w:jc w:val="both"/>
        <w:rPr>
          <w:rFonts w:ascii="Calibri" w:eastAsia="Calibri" w:hAnsi="Calibri" w:cs="Arial"/>
          <w:b/>
          <w:highlight w:val="cyan"/>
        </w:rPr>
      </w:pPr>
    </w:p>
    <w:p w:rsidR="00D01437" w:rsidRPr="00D01437" w:rsidRDefault="00066949" w:rsidP="00066949">
      <w:pPr>
        <w:jc w:val="both"/>
        <w:rPr>
          <w:rFonts w:ascii="Calibri" w:eastAsia="Calibri" w:hAnsi="Calibri" w:cs="Arial"/>
          <w:b/>
        </w:rPr>
      </w:pPr>
      <w:r w:rsidRPr="00D01437">
        <w:rPr>
          <w:rFonts w:ascii="Calibri" w:eastAsia="Calibri" w:hAnsi="Calibri" w:cs="Arial"/>
          <w:b/>
        </w:rPr>
        <w:t xml:space="preserve">Improved BCF </w:t>
      </w:r>
    </w:p>
    <w:p w:rsidR="00D01437" w:rsidRDefault="00D01437" w:rsidP="00D01437">
      <w:pPr>
        <w:pStyle w:val="Default"/>
        <w:rPr>
          <w:rFonts w:ascii="Calibri" w:hAnsi="Calibri"/>
        </w:rPr>
      </w:pPr>
      <w:r w:rsidRPr="002D6936">
        <w:rPr>
          <w:rFonts w:ascii="Calibri" w:hAnsi="Calibri"/>
        </w:rPr>
        <w:t xml:space="preserve">The </w:t>
      </w:r>
      <w:hyperlink r:id="rId23" w:history="1">
        <w:r w:rsidRPr="00D07C85">
          <w:rPr>
            <w:rStyle w:val="Hyperlink"/>
            <w:rFonts w:ascii="Calibri" w:hAnsi="Calibri"/>
          </w:rPr>
          <w:t>2017 Spring Budget</w:t>
        </w:r>
      </w:hyperlink>
      <w:r w:rsidRPr="002D6936">
        <w:rPr>
          <w:rFonts w:ascii="Calibri" w:hAnsi="Calibri"/>
        </w:rPr>
        <w:t xml:space="preserve"> included £2.021bn supplementary funding for the improved Better Care Fund (iBCF); £1.01bn in 17-18, £674m in 18-19 and £337m in 19-20. This brought the iBCF total up to £1.115bn in 17-18, £1.499bn in 18-19 and £1.837bn in 19-20 as shown below.</w:t>
      </w:r>
    </w:p>
    <w:p w:rsidR="00D01437" w:rsidRPr="002D6936" w:rsidRDefault="00D01437" w:rsidP="00D01437">
      <w:pPr>
        <w:pStyle w:val="Default"/>
        <w:rPr>
          <w:rFonts w:cs="Tahoma"/>
        </w:rPr>
      </w:pPr>
    </w:p>
    <w:tbl>
      <w:tblPr>
        <w:tblW w:w="9983" w:type="dxa"/>
        <w:jc w:val="center"/>
        <w:tblLook w:val="04A0" w:firstRow="1" w:lastRow="0" w:firstColumn="1" w:lastColumn="0" w:noHBand="0" w:noVBand="1"/>
      </w:tblPr>
      <w:tblGrid>
        <w:gridCol w:w="4763"/>
        <w:gridCol w:w="1740"/>
        <w:gridCol w:w="1740"/>
        <w:gridCol w:w="1740"/>
      </w:tblGrid>
      <w:tr w:rsidR="00D01437" w:rsidRPr="00D01437" w:rsidTr="00D01437">
        <w:trPr>
          <w:trHeight w:val="315"/>
          <w:jc w:val="center"/>
        </w:trPr>
        <w:tc>
          <w:tcPr>
            <w:tcW w:w="4763" w:type="dxa"/>
            <w:tcBorders>
              <w:top w:val="nil"/>
              <w:left w:val="nil"/>
              <w:bottom w:val="nil"/>
              <w:right w:val="nil"/>
            </w:tcBorders>
            <w:shd w:val="clear" w:color="000000" w:fill="FFFFFF"/>
            <w:noWrap/>
            <w:vAlign w:val="bottom"/>
            <w:hideMark/>
          </w:tcPr>
          <w:p w:rsidR="00D01437" w:rsidRPr="00D01437" w:rsidRDefault="00D01437" w:rsidP="00C43110">
            <w:pPr>
              <w:rPr>
                <w:rFonts w:asciiTheme="minorHAnsi" w:hAnsiTheme="minorHAnsi"/>
                <w:b/>
                <w:bCs/>
                <w:color w:val="000000"/>
                <w:lang w:eastAsia="en-GB"/>
              </w:rPr>
            </w:pPr>
            <w:r w:rsidRPr="00D01437">
              <w:rPr>
                <w:rFonts w:asciiTheme="minorHAnsi" w:hAnsiTheme="minorHAnsi"/>
                <w:b/>
                <w:bCs/>
                <w:color w:val="000000"/>
                <w:lang w:eastAsia="en-GB"/>
              </w:rPr>
              <w:t> Improved BCF</w:t>
            </w:r>
          </w:p>
        </w:tc>
        <w:tc>
          <w:tcPr>
            <w:tcW w:w="1740" w:type="dxa"/>
            <w:tcBorders>
              <w:top w:val="nil"/>
              <w:left w:val="nil"/>
              <w:bottom w:val="single" w:sz="4" w:space="0" w:color="BFBFBF"/>
              <w:right w:val="nil"/>
            </w:tcBorders>
            <w:shd w:val="clear" w:color="000000" w:fill="FFFFFF"/>
            <w:noWrap/>
            <w:vAlign w:val="bottom"/>
            <w:hideMark/>
          </w:tcPr>
          <w:p w:rsidR="00D01437" w:rsidRPr="00D01437" w:rsidRDefault="00D01437" w:rsidP="00C43110">
            <w:pPr>
              <w:jc w:val="center"/>
              <w:rPr>
                <w:rFonts w:asciiTheme="minorHAnsi" w:hAnsiTheme="minorHAnsi"/>
                <w:b/>
                <w:bCs/>
                <w:color w:val="000000"/>
                <w:lang w:eastAsia="en-GB"/>
              </w:rPr>
            </w:pPr>
            <w:r w:rsidRPr="00D01437">
              <w:rPr>
                <w:rFonts w:asciiTheme="minorHAnsi" w:hAnsiTheme="minorHAnsi"/>
                <w:b/>
                <w:bCs/>
                <w:color w:val="000000"/>
                <w:lang w:eastAsia="en-GB"/>
              </w:rPr>
              <w:t>17-18</w:t>
            </w:r>
          </w:p>
        </w:tc>
        <w:tc>
          <w:tcPr>
            <w:tcW w:w="1740" w:type="dxa"/>
            <w:tcBorders>
              <w:top w:val="nil"/>
              <w:left w:val="nil"/>
              <w:bottom w:val="single" w:sz="4" w:space="0" w:color="BFBFBF"/>
              <w:right w:val="nil"/>
            </w:tcBorders>
            <w:shd w:val="clear" w:color="000000" w:fill="FFFFFF"/>
            <w:noWrap/>
            <w:vAlign w:val="bottom"/>
            <w:hideMark/>
          </w:tcPr>
          <w:p w:rsidR="00D01437" w:rsidRPr="00D01437" w:rsidRDefault="00D01437" w:rsidP="00C43110">
            <w:pPr>
              <w:jc w:val="center"/>
              <w:rPr>
                <w:rFonts w:asciiTheme="minorHAnsi" w:hAnsiTheme="minorHAnsi"/>
                <w:b/>
                <w:bCs/>
                <w:color w:val="000000"/>
                <w:lang w:eastAsia="en-GB"/>
              </w:rPr>
            </w:pPr>
            <w:r w:rsidRPr="00D01437">
              <w:rPr>
                <w:rFonts w:asciiTheme="minorHAnsi" w:hAnsiTheme="minorHAnsi"/>
                <w:b/>
                <w:bCs/>
                <w:color w:val="000000"/>
                <w:lang w:eastAsia="en-GB"/>
              </w:rPr>
              <w:t>18-19</w:t>
            </w:r>
          </w:p>
        </w:tc>
        <w:tc>
          <w:tcPr>
            <w:tcW w:w="1740" w:type="dxa"/>
            <w:tcBorders>
              <w:top w:val="nil"/>
              <w:left w:val="nil"/>
              <w:bottom w:val="single" w:sz="4" w:space="0" w:color="BFBFBF"/>
              <w:right w:val="nil"/>
            </w:tcBorders>
            <w:shd w:val="clear" w:color="000000" w:fill="FFFFFF"/>
            <w:noWrap/>
            <w:vAlign w:val="bottom"/>
            <w:hideMark/>
          </w:tcPr>
          <w:p w:rsidR="00D01437" w:rsidRPr="00D01437" w:rsidRDefault="00D01437" w:rsidP="00C43110">
            <w:pPr>
              <w:jc w:val="center"/>
              <w:rPr>
                <w:rFonts w:asciiTheme="minorHAnsi" w:hAnsiTheme="minorHAnsi"/>
                <w:b/>
                <w:bCs/>
                <w:color w:val="000000"/>
                <w:lang w:eastAsia="en-GB"/>
              </w:rPr>
            </w:pPr>
            <w:r w:rsidRPr="00D01437">
              <w:rPr>
                <w:rFonts w:asciiTheme="minorHAnsi" w:hAnsiTheme="minorHAnsi"/>
                <w:b/>
                <w:bCs/>
                <w:color w:val="000000"/>
                <w:lang w:eastAsia="en-GB"/>
              </w:rPr>
              <w:t>19-20</w:t>
            </w:r>
          </w:p>
        </w:tc>
      </w:tr>
      <w:tr w:rsidR="00D01437" w:rsidRPr="00D01437" w:rsidTr="00D01437">
        <w:trPr>
          <w:trHeight w:val="315"/>
          <w:jc w:val="center"/>
        </w:trPr>
        <w:tc>
          <w:tcPr>
            <w:tcW w:w="4763" w:type="dxa"/>
            <w:tcBorders>
              <w:top w:val="single" w:sz="4" w:space="0" w:color="BFBFBF"/>
              <w:left w:val="single" w:sz="4" w:space="0" w:color="BFBFBF"/>
              <w:bottom w:val="nil"/>
              <w:right w:val="nil"/>
            </w:tcBorders>
            <w:shd w:val="clear" w:color="000000" w:fill="FFFFFF"/>
            <w:noWrap/>
            <w:vAlign w:val="bottom"/>
            <w:hideMark/>
          </w:tcPr>
          <w:p w:rsidR="00D01437" w:rsidRPr="00D01437" w:rsidRDefault="00D01437" w:rsidP="00C43110">
            <w:pPr>
              <w:rPr>
                <w:rFonts w:asciiTheme="minorHAnsi" w:hAnsiTheme="minorHAnsi"/>
                <w:color w:val="000000"/>
                <w:lang w:eastAsia="en-GB"/>
              </w:rPr>
            </w:pPr>
            <w:r w:rsidRPr="00D01437">
              <w:rPr>
                <w:rFonts w:asciiTheme="minorHAnsi" w:hAnsiTheme="minorHAnsi"/>
                <w:color w:val="000000"/>
                <w:lang w:eastAsia="en-GB"/>
              </w:rPr>
              <w:t>Original funding (SR15)</w:t>
            </w:r>
          </w:p>
        </w:tc>
        <w:tc>
          <w:tcPr>
            <w:tcW w:w="1740" w:type="dxa"/>
            <w:tcBorders>
              <w:top w:val="nil"/>
              <w:left w:val="nil"/>
              <w:bottom w:val="nil"/>
              <w:right w:val="nil"/>
            </w:tcBorders>
            <w:shd w:val="clear" w:color="000000" w:fill="FFFFFF"/>
            <w:noWrap/>
            <w:vAlign w:val="center"/>
            <w:hideMark/>
          </w:tcPr>
          <w:p w:rsidR="00D01437" w:rsidRPr="00D01437" w:rsidRDefault="00D01437" w:rsidP="00C43110">
            <w:pPr>
              <w:jc w:val="right"/>
              <w:rPr>
                <w:rFonts w:asciiTheme="minorHAnsi" w:hAnsiTheme="minorHAnsi"/>
                <w:color w:val="000000"/>
                <w:lang w:eastAsia="en-GB"/>
              </w:rPr>
            </w:pPr>
            <w:r w:rsidRPr="00D01437">
              <w:rPr>
                <w:rFonts w:asciiTheme="minorHAnsi" w:hAnsiTheme="minorHAnsi"/>
                <w:color w:val="000000"/>
                <w:lang w:eastAsia="en-GB"/>
              </w:rPr>
              <w:t>£105,000,000</w:t>
            </w:r>
          </w:p>
        </w:tc>
        <w:tc>
          <w:tcPr>
            <w:tcW w:w="1740" w:type="dxa"/>
            <w:tcBorders>
              <w:top w:val="nil"/>
              <w:left w:val="nil"/>
              <w:bottom w:val="nil"/>
              <w:right w:val="nil"/>
            </w:tcBorders>
            <w:shd w:val="clear" w:color="000000" w:fill="FFFFFF"/>
            <w:noWrap/>
            <w:vAlign w:val="center"/>
            <w:hideMark/>
          </w:tcPr>
          <w:p w:rsidR="00D01437" w:rsidRPr="00D01437" w:rsidRDefault="00D01437" w:rsidP="00C43110">
            <w:pPr>
              <w:jc w:val="right"/>
              <w:rPr>
                <w:rFonts w:asciiTheme="minorHAnsi" w:hAnsiTheme="minorHAnsi"/>
                <w:color w:val="000000"/>
                <w:lang w:eastAsia="en-GB"/>
              </w:rPr>
            </w:pPr>
            <w:r w:rsidRPr="00D01437">
              <w:rPr>
                <w:rFonts w:asciiTheme="minorHAnsi" w:hAnsiTheme="minorHAnsi"/>
                <w:color w:val="000000"/>
                <w:lang w:eastAsia="en-GB"/>
              </w:rPr>
              <w:t>£825,000,000</w:t>
            </w:r>
          </w:p>
        </w:tc>
        <w:tc>
          <w:tcPr>
            <w:tcW w:w="1740" w:type="dxa"/>
            <w:tcBorders>
              <w:top w:val="nil"/>
              <w:left w:val="nil"/>
              <w:bottom w:val="nil"/>
              <w:right w:val="single" w:sz="4" w:space="0" w:color="BFBFBF"/>
            </w:tcBorders>
            <w:shd w:val="clear" w:color="000000" w:fill="FFFFFF"/>
            <w:noWrap/>
            <w:vAlign w:val="center"/>
            <w:hideMark/>
          </w:tcPr>
          <w:p w:rsidR="00D01437" w:rsidRPr="00D01437" w:rsidRDefault="00D01437" w:rsidP="00C43110">
            <w:pPr>
              <w:jc w:val="right"/>
              <w:rPr>
                <w:rFonts w:asciiTheme="minorHAnsi" w:hAnsiTheme="minorHAnsi"/>
                <w:color w:val="000000"/>
                <w:lang w:eastAsia="en-GB"/>
              </w:rPr>
            </w:pPr>
            <w:r w:rsidRPr="00D01437">
              <w:rPr>
                <w:rFonts w:asciiTheme="minorHAnsi" w:hAnsiTheme="minorHAnsi"/>
                <w:color w:val="000000"/>
                <w:lang w:eastAsia="en-GB"/>
              </w:rPr>
              <w:t>£1,500,000,000</w:t>
            </w:r>
          </w:p>
        </w:tc>
      </w:tr>
      <w:tr w:rsidR="00D01437" w:rsidRPr="00D01437" w:rsidTr="00D01437">
        <w:trPr>
          <w:trHeight w:val="315"/>
          <w:jc w:val="center"/>
        </w:trPr>
        <w:tc>
          <w:tcPr>
            <w:tcW w:w="4763" w:type="dxa"/>
            <w:tcBorders>
              <w:top w:val="nil"/>
              <w:left w:val="single" w:sz="4" w:space="0" w:color="BFBFBF"/>
              <w:bottom w:val="single" w:sz="4" w:space="0" w:color="BFBFBF"/>
              <w:right w:val="nil"/>
            </w:tcBorders>
            <w:shd w:val="clear" w:color="000000" w:fill="FFFFFF"/>
            <w:noWrap/>
            <w:vAlign w:val="bottom"/>
            <w:hideMark/>
          </w:tcPr>
          <w:p w:rsidR="00D01437" w:rsidRPr="00D01437" w:rsidRDefault="00D01437" w:rsidP="00C43110">
            <w:pPr>
              <w:rPr>
                <w:rFonts w:asciiTheme="minorHAnsi" w:hAnsiTheme="minorHAnsi"/>
                <w:color w:val="000000"/>
                <w:lang w:eastAsia="en-GB"/>
              </w:rPr>
            </w:pPr>
            <w:r w:rsidRPr="00D01437">
              <w:rPr>
                <w:rFonts w:asciiTheme="minorHAnsi" w:hAnsiTheme="minorHAnsi"/>
                <w:color w:val="000000"/>
                <w:lang w:eastAsia="en-GB"/>
              </w:rPr>
              <w:t xml:space="preserve">Supplementary funding (2017 </w:t>
            </w:r>
            <w:r>
              <w:rPr>
                <w:rFonts w:asciiTheme="minorHAnsi" w:hAnsiTheme="minorHAnsi"/>
                <w:color w:val="000000"/>
                <w:lang w:eastAsia="en-GB"/>
              </w:rPr>
              <w:t xml:space="preserve">Spring </w:t>
            </w:r>
            <w:r w:rsidRPr="00D01437">
              <w:rPr>
                <w:rFonts w:asciiTheme="minorHAnsi" w:hAnsiTheme="minorHAnsi"/>
                <w:color w:val="000000"/>
                <w:lang w:eastAsia="en-GB"/>
              </w:rPr>
              <w:t>Budget)</w:t>
            </w:r>
          </w:p>
        </w:tc>
        <w:tc>
          <w:tcPr>
            <w:tcW w:w="1740" w:type="dxa"/>
            <w:tcBorders>
              <w:top w:val="nil"/>
              <w:left w:val="nil"/>
              <w:bottom w:val="single" w:sz="4" w:space="0" w:color="BFBFBF"/>
              <w:right w:val="nil"/>
            </w:tcBorders>
            <w:shd w:val="clear" w:color="000000" w:fill="FFFFFF"/>
            <w:noWrap/>
            <w:vAlign w:val="center"/>
            <w:hideMark/>
          </w:tcPr>
          <w:p w:rsidR="00D01437" w:rsidRPr="00D01437" w:rsidRDefault="00D01437" w:rsidP="00C43110">
            <w:pPr>
              <w:jc w:val="right"/>
              <w:rPr>
                <w:rFonts w:asciiTheme="minorHAnsi" w:hAnsiTheme="minorHAnsi"/>
                <w:color w:val="000000"/>
                <w:lang w:eastAsia="en-GB"/>
              </w:rPr>
            </w:pPr>
            <w:r w:rsidRPr="00D01437">
              <w:rPr>
                <w:rFonts w:asciiTheme="minorHAnsi" w:hAnsiTheme="minorHAnsi"/>
                <w:color w:val="000000"/>
                <w:lang w:eastAsia="en-GB"/>
              </w:rPr>
              <w:t>£1,010,000,000</w:t>
            </w:r>
          </w:p>
        </w:tc>
        <w:tc>
          <w:tcPr>
            <w:tcW w:w="1740" w:type="dxa"/>
            <w:tcBorders>
              <w:top w:val="nil"/>
              <w:left w:val="nil"/>
              <w:bottom w:val="single" w:sz="4" w:space="0" w:color="BFBFBF"/>
              <w:right w:val="nil"/>
            </w:tcBorders>
            <w:shd w:val="clear" w:color="000000" w:fill="FFFFFF"/>
            <w:noWrap/>
            <w:vAlign w:val="center"/>
            <w:hideMark/>
          </w:tcPr>
          <w:p w:rsidR="00D01437" w:rsidRPr="00D01437" w:rsidRDefault="00D01437" w:rsidP="00C43110">
            <w:pPr>
              <w:jc w:val="right"/>
              <w:rPr>
                <w:rFonts w:asciiTheme="minorHAnsi" w:hAnsiTheme="minorHAnsi"/>
                <w:color w:val="000000"/>
                <w:lang w:eastAsia="en-GB"/>
              </w:rPr>
            </w:pPr>
            <w:r w:rsidRPr="00D01437">
              <w:rPr>
                <w:rFonts w:asciiTheme="minorHAnsi" w:hAnsiTheme="minorHAnsi"/>
                <w:color w:val="000000"/>
                <w:lang w:eastAsia="en-GB"/>
              </w:rPr>
              <w:t>£674,000,000</w:t>
            </w:r>
          </w:p>
        </w:tc>
        <w:tc>
          <w:tcPr>
            <w:tcW w:w="1740" w:type="dxa"/>
            <w:tcBorders>
              <w:top w:val="nil"/>
              <w:left w:val="nil"/>
              <w:bottom w:val="single" w:sz="4" w:space="0" w:color="BFBFBF"/>
              <w:right w:val="single" w:sz="4" w:space="0" w:color="BFBFBF"/>
            </w:tcBorders>
            <w:shd w:val="clear" w:color="000000" w:fill="FFFFFF"/>
            <w:noWrap/>
            <w:vAlign w:val="center"/>
            <w:hideMark/>
          </w:tcPr>
          <w:p w:rsidR="00D01437" w:rsidRPr="00D01437" w:rsidRDefault="00D01437" w:rsidP="00C43110">
            <w:pPr>
              <w:jc w:val="right"/>
              <w:rPr>
                <w:rFonts w:asciiTheme="minorHAnsi" w:hAnsiTheme="minorHAnsi"/>
                <w:color w:val="000000"/>
                <w:lang w:eastAsia="en-GB"/>
              </w:rPr>
            </w:pPr>
            <w:r w:rsidRPr="00D01437">
              <w:rPr>
                <w:rFonts w:asciiTheme="minorHAnsi" w:hAnsiTheme="minorHAnsi"/>
                <w:color w:val="000000"/>
                <w:lang w:eastAsia="en-GB"/>
              </w:rPr>
              <w:t>£337,000,000</w:t>
            </w:r>
          </w:p>
        </w:tc>
      </w:tr>
      <w:tr w:rsidR="00D01437" w:rsidRPr="00D01437" w:rsidTr="00D01437">
        <w:trPr>
          <w:trHeight w:val="300"/>
          <w:jc w:val="center"/>
        </w:trPr>
        <w:tc>
          <w:tcPr>
            <w:tcW w:w="4763" w:type="dxa"/>
            <w:tcBorders>
              <w:top w:val="nil"/>
              <w:left w:val="nil"/>
              <w:right w:val="nil"/>
            </w:tcBorders>
            <w:shd w:val="clear" w:color="000000" w:fill="FFFFFF"/>
            <w:noWrap/>
            <w:vAlign w:val="bottom"/>
            <w:hideMark/>
          </w:tcPr>
          <w:p w:rsidR="00D01437" w:rsidRPr="00D01437" w:rsidRDefault="00D01437" w:rsidP="00C43110">
            <w:pPr>
              <w:rPr>
                <w:rFonts w:asciiTheme="minorHAnsi" w:hAnsiTheme="minorHAnsi"/>
                <w:color w:val="000000"/>
                <w:lang w:eastAsia="en-GB"/>
              </w:rPr>
            </w:pPr>
            <w:r w:rsidRPr="00D01437">
              <w:rPr>
                <w:rFonts w:asciiTheme="minorHAnsi" w:hAnsiTheme="minorHAnsi"/>
                <w:color w:val="000000"/>
                <w:lang w:eastAsia="en-GB"/>
              </w:rPr>
              <w:t> </w:t>
            </w:r>
          </w:p>
        </w:tc>
        <w:tc>
          <w:tcPr>
            <w:tcW w:w="1740" w:type="dxa"/>
            <w:tcBorders>
              <w:top w:val="nil"/>
              <w:left w:val="nil"/>
              <w:bottom w:val="single" w:sz="12" w:space="0" w:color="auto"/>
              <w:right w:val="nil"/>
            </w:tcBorders>
            <w:shd w:val="clear" w:color="000000" w:fill="FFFFFF"/>
            <w:noWrap/>
            <w:vAlign w:val="bottom"/>
            <w:hideMark/>
          </w:tcPr>
          <w:p w:rsidR="00D01437" w:rsidRPr="00D01437" w:rsidRDefault="00D01437" w:rsidP="00C43110">
            <w:pPr>
              <w:rPr>
                <w:rFonts w:asciiTheme="minorHAnsi" w:hAnsiTheme="minorHAnsi"/>
                <w:color w:val="000000"/>
                <w:lang w:eastAsia="en-GB"/>
              </w:rPr>
            </w:pPr>
            <w:r w:rsidRPr="00D01437">
              <w:rPr>
                <w:rFonts w:asciiTheme="minorHAnsi" w:hAnsiTheme="minorHAnsi"/>
                <w:color w:val="000000"/>
                <w:lang w:eastAsia="en-GB"/>
              </w:rPr>
              <w:t> </w:t>
            </w:r>
          </w:p>
        </w:tc>
        <w:tc>
          <w:tcPr>
            <w:tcW w:w="1740" w:type="dxa"/>
            <w:tcBorders>
              <w:top w:val="nil"/>
              <w:left w:val="nil"/>
              <w:bottom w:val="single" w:sz="12" w:space="0" w:color="auto"/>
              <w:right w:val="nil"/>
            </w:tcBorders>
            <w:shd w:val="clear" w:color="000000" w:fill="FFFFFF"/>
            <w:noWrap/>
            <w:vAlign w:val="bottom"/>
            <w:hideMark/>
          </w:tcPr>
          <w:p w:rsidR="00D01437" w:rsidRPr="00D01437" w:rsidRDefault="00D01437" w:rsidP="00C43110">
            <w:pPr>
              <w:rPr>
                <w:rFonts w:asciiTheme="minorHAnsi" w:hAnsiTheme="minorHAnsi"/>
                <w:color w:val="000000"/>
                <w:lang w:eastAsia="en-GB"/>
              </w:rPr>
            </w:pPr>
            <w:r w:rsidRPr="00D01437">
              <w:rPr>
                <w:rFonts w:asciiTheme="minorHAnsi" w:hAnsiTheme="minorHAnsi"/>
                <w:color w:val="000000"/>
                <w:lang w:eastAsia="en-GB"/>
              </w:rPr>
              <w:t> </w:t>
            </w:r>
          </w:p>
        </w:tc>
        <w:tc>
          <w:tcPr>
            <w:tcW w:w="1740" w:type="dxa"/>
            <w:tcBorders>
              <w:top w:val="nil"/>
              <w:left w:val="nil"/>
              <w:bottom w:val="single" w:sz="12" w:space="0" w:color="auto"/>
              <w:right w:val="nil"/>
            </w:tcBorders>
            <w:shd w:val="clear" w:color="000000" w:fill="FFFFFF"/>
            <w:noWrap/>
            <w:vAlign w:val="bottom"/>
            <w:hideMark/>
          </w:tcPr>
          <w:p w:rsidR="00D01437" w:rsidRPr="00D01437" w:rsidRDefault="00D01437" w:rsidP="00C43110">
            <w:pPr>
              <w:rPr>
                <w:rFonts w:asciiTheme="minorHAnsi" w:hAnsiTheme="minorHAnsi"/>
                <w:color w:val="000000"/>
                <w:lang w:eastAsia="en-GB"/>
              </w:rPr>
            </w:pPr>
            <w:r w:rsidRPr="00D01437">
              <w:rPr>
                <w:rFonts w:asciiTheme="minorHAnsi" w:hAnsiTheme="minorHAnsi"/>
                <w:color w:val="000000"/>
                <w:lang w:eastAsia="en-GB"/>
              </w:rPr>
              <w:t> </w:t>
            </w:r>
          </w:p>
        </w:tc>
      </w:tr>
      <w:tr w:rsidR="00D01437" w:rsidRPr="00D01437" w:rsidTr="00D01437">
        <w:trPr>
          <w:trHeight w:val="315"/>
          <w:jc w:val="center"/>
        </w:trPr>
        <w:tc>
          <w:tcPr>
            <w:tcW w:w="4763" w:type="dxa"/>
            <w:tcBorders>
              <w:right w:val="nil"/>
            </w:tcBorders>
            <w:shd w:val="clear" w:color="000000" w:fill="FFFFFF"/>
            <w:noWrap/>
            <w:vAlign w:val="bottom"/>
            <w:hideMark/>
          </w:tcPr>
          <w:p w:rsidR="00D01437" w:rsidRPr="00D01437" w:rsidRDefault="00D01437" w:rsidP="00C43110">
            <w:pPr>
              <w:rPr>
                <w:rFonts w:asciiTheme="minorHAnsi" w:hAnsiTheme="minorHAnsi"/>
                <w:b/>
                <w:bCs/>
                <w:color w:val="000000"/>
                <w:lang w:eastAsia="en-GB"/>
              </w:rPr>
            </w:pPr>
            <w:r w:rsidRPr="00D01437">
              <w:rPr>
                <w:rFonts w:asciiTheme="minorHAnsi" w:hAnsiTheme="minorHAnsi"/>
                <w:b/>
                <w:bCs/>
                <w:color w:val="000000"/>
                <w:lang w:eastAsia="en-GB"/>
              </w:rPr>
              <w:t>iBCF total</w:t>
            </w:r>
          </w:p>
        </w:tc>
        <w:tc>
          <w:tcPr>
            <w:tcW w:w="1740" w:type="dxa"/>
            <w:tcBorders>
              <w:top w:val="single" w:sz="12" w:space="0" w:color="auto"/>
              <w:left w:val="nil"/>
              <w:bottom w:val="single" w:sz="12" w:space="0" w:color="auto"/>
              <w:right w:val="nil"/>
            </w:tcBorders>
            <w:shd w:val="clear" w:color="000000" w:fill="FFFFFF"/>
            <w:noWrap/>
            <w:vAlign w:val="bottom"/>
            <w:hideMark/>
          </w:tcPr>
          <w:p w:rsidR="00D01437" w:rsidRPr="00D01437" w:rsidRDefault="00D01437" w:rsidP="00C43110">
            <w:pPr>
              <w:jc w:val="right"/>
              <w:rPr>
                <w:rFonts w:asciiTheme="minorHAnsi" w:hAnsiTheme="minorHAnsi"/>
                <w:b/>
                <w:bCs/>
                <w:color w:val="000000"/>
                <w:lang w:eastAsia="en-GB"/>
              </w:rPr>
            </w:pPr>
            <w:r w:rsidRPr="00D01437">
              <w:rPr>
                <w:rFonts w:asciiTheme="minorHAnsi" w:hAnsiTheme="minorHAnsi"/>
                <w:b/>
                <w:bCs/>
                <w:color w:val="000000"/>
                <w:lang w:eastAsia="en-GB"/>
              </w:rPr>
              <w:t>£1,115,000,000</w:t>
            </w:r>
          </w:p>
        </w:tc>
        <w:tc>
          <w:tcPr>
            <w:tcW w:w="1740" w:type="dxa"/>
            <w:tcBorders>
              <w:top w:val="single" w:sz="12" w:space="0" w:color="auto"/>
              <w:left w:val="nil"/>
              <w:bottom w:val="single" w:sz="12" w:space="0" w:color="auto"/>
              <w:right w:val="nil"/>
            </w:tcBorders>
            <w:shd w:val="clear" w:color="000000" w:fill="FFFFFF"/>
            <w:noWrap/>
            <w:vAlign w:val="bottom"/>
            <w:hideMark/>
          </w:tcPr>
          <w:p w:rsidR="00D01437" w:rsidRPr="00D01437" w:rsidRDefault="00D01437" w:rsidP="00C43110">
            <w:pPr>
              <w:jc w:val="right"/>
              <w:rPr>
                <w:rFonts w:asciiTheme="minorHAnsi" w:hAnsiTheme="minorHAnsi"/>
                <w:b/>
                <w:bCs/>
                <w:color w:val="000000"/>
                <w:lang w:eastAsia="en-GB"/>
              </w:rPr>
            </w:pPr>
            <w:r w:rsidRPr="00D01437">
              <w:rPr>
                <w:rFonts w:asciiTheme="minorHAnsi" w:hAnsiTheme="minorHAnsi"/>
                <w:b/>
                <w:bCs/>
                <w:color w:val="000000"/>
                <w:lang w:eastAsia="en-GB"/>
              </w:rPr>
              <w:t>£1,499,000,000</w:t>
            </w:r>
          </w:p>
        </w:tc>
        <w:tc>
          <w:tcPr>
            <w:tcW w:w="1740" w:type="dxa"/>
            <w:tcBorders>
              <w:top w:val="single" w:sz="12" w:space="0" w:color="auto"/>
              <w:left w:val="nil"/>
              <w:bottom w:val="single" w:sz="12" w:space="0" w:color="auto"/>
            </w:tcBorders>
            <w:shd w:val="clear" w:color="000000" w:fill="FFFFFF"/>
            <w:noWrap/>
            <w:vAlign w:val="bottom"/>
            <w:hideMark/>
          </w:tcPr>
          <w:p w:rsidR="00D01437" w:rsidRPr="00D01437" w:rsidRDefault="00D01437" w:rsidP="00C43110">
            <w:pPr>
              <w:jc w:val="right"/>
              <w:rPr>
                <w:rFonts w:asciiTheme="minorHAnsi" w:hAnsiTheme="minorHAnsi"/>
                <w:b/>
                <w:bCs/>
                <w:color w:val="000000"/>
                <w:lang w:eastAsia="en-GB"/>
              </w:rPr>
            </w:pPr>
            <w:r w:rsidRPr="00D01437">
              <w:rPr>
                <w:rFonts w:asciiTheme="minorHAnsi" w:hAnsiTheme="minorHAnsi"/>
                <w:b/>
                <w:bCs/>
                <w:color w:val="000000"/>
                <w:lang w:eastAsia="en-GB"/>
              </w:rPr>
              <w:t>£1,837,000,000</w:t>
            </w:r>
          </w:p>
        </w:tc>
      </w:tr>
    </w:tbl>
    <w:p w:rsidR="00D01437" w:rsidRDefault="00D01437" w:rsidP="00066949">
      <w:pPr>
        <w:jc w:val="both"/>
        <w:rPr>
          <w:rFonts w:ascii="Calibri" w:eastAsia="Calibri" w:hAnsi="Calibri" w:cs="Arial"/>
          <w:b/>
          <w:strike/>
          <w:highlight w:val="cyan"/>
        </w:rPr>
      </w:pPr>
    </w:p>
    <w:p w:rsidR="00D01437" w:rsidRPr="000354CB" w:rsidRDefault="00D01437" w:rsidP="00066949">
      <w:pPr>
        <w:jc w:val="both"/>
        <w:rPr>
          <w:rFonts w:ascii="Calibri" w:eastAsia="Calibri" w:hAnsi="Calibri" w:cs="Arial"/>
        </w:rPr>
      </w:pPr>
      <w:r w:rsidRPr="00D01437">
        <w:rPr>
          <w:rFonts w:ascii="Calibri" w:eastAsia="Calibri" w:hAnsi="Calibri" w:cs="Arial"/>
        </w:rPr>
        <w:t>Local authority iBCF allocations for 2017-18, 2018-19 and 2019-20 were published as part of core spending power figures, alongside the 17-18 settlement.</w:t>
      </w:r>
      <w:r>
        <w:rPr>
          <w:rFonts w:ascii="Calibri" w:eastAsia="Calibri" w:hAnsi="Calibri" w:cs="Arial"/>
        </w:rPr>
        <w:t xml:space="preserve"> DCLG updated these allocations to include the </w:t>
      </w:r>
      <w:r w:rsidRPr="000354CB">
        <w:rPr>
          <w:rFonts w:ascii="Calibri" w:eastAsia="Calibri" w:hAnsi="Calibri" w:cs="Arial"/>
        </w:rPr>
        <w:t>supplementary funding announced in the 2017 Spring Budget.</w:t>
      </w:r>
    </w:p>
    <w:p w:rsidR="00D01437" w:rsidRPr="000354CB" w:rsidRDefault="00D01437" w:rsidP="00066949">
      <w:pPr>
        <w:jc w:val="both"/>
        <w:rPr>
          <w:rFonts w:ascii="Calibri" w:eastAsia="Calibri" w:hAnsi="Calibri" w:cs="Arial"/>
        </w:rPr>
      </w:pPr>
    </w:p>
    <w:p w:rsidR="00D01437" w:rsidRPr="000354CB" w:rsidRDefault="00D01437" w:rsidP="00066949">
      <w:pPr>
        <w:jc w:val="both"/>
        <w:rPr>
          <w:rFonts w:ascii="Calibri" w:eastAsia="Calibri" w:hAnsi="Calibri" w:cs="Arial"/>
        </w:rPr>
      </w:pPr>
      <w:r w:rsidRPr="000354CB">
        <w:rPr>
          <w:rFonts w:ascii="Calibri" w:eastAsia="Calibri" w:hAnsi="Calibri" w:cs="Arial"/>
        </w:rPr>
        <w:t>The settlement has republi</w:t>
      </w:r>
      <w:r w:rsidR="000354CB" w:rsidRPr="000354CB">
        <w:rPr>
          <w:rFonts w:ascii="Calibri" w:eastAsia="Calibri" w:hAnsi="Calibri" w:cs="Arial"/>
        </w:rPr>
        <w:t>shed these allocations</w:t>
      </w:r>
      <w:r w:rsidR="007C697A" w:rsidRPr="000354CB">
        <w:rPr>
          <w:rFonts w:ascii="Calibri" w:eastAsia="Calibri" w:hAnsi="Calibri" w:cs="Arial"/>
        </w:rPr>
        <w:t>.</w:t>
      </w:r>
    </w:p>
    <w:p w:rsidR="00D01437" w:rsidRPr="000354CB" w:rsidRDefault="00D01437" w:rsidP="00066949">
      <w:pPr>
        <w:jc w:val="both"/>
        <w:rPr>
          <w:rFonts w:ascii="Calibri" w:eastAsia="Calibri" w:hAnsi="Calibri" w:cs="Arial"/>
          <w:b/>
          <w:strike/>
        </w:rPr>
      </w:pPr>
    </w:p>
    <w:p w:rsidR="00D01437" w:rsidRPr="007C697A" w:rsidRDefault="007C697A" w:rsidP="00D01437">
      <w:pPr>
        <w:pStyle w:val="AttachmentSubHeading"/>
        <w:spacing w:after="0"/>
        <w:jc w:val="left"/>
        <w:rPr>
          <w:rFonts w:asciiTheme="minorHAnsi" w:hAnsiTheme="minorHAnsi" w:cs="Frutiger LT Std 45 Light"/>
          <w:b w:val="0"/>
          <w:color w:val="000000"/>
          <w:sz w:val="24"/>
          <w:szCs w:val="24"/>
          <w:lang w:eastAsia="en-GB"/>
        </w:rPr>
      </w:pPr>
      <w:r w:rsidRPr="007C697A">
        <w:rPr>
          <w:rFonts w:asciiTheme="minorHAnsi" w:hAnsiTheme="minorHAnsi" w:cs="Frutiger LT Std 45 Light"/>
          <w:b w:val="0"/>
          <w:color w:val="000000"/>
          <w:sz w:val="24"/>
          <w:szCs w:val="24"/>
          <w:lang w:eastAsia="en-GB"/>
        </w:rPr>
        <w:t>Original f</w:t>
      </w:r>
      <w:r w:rsidR="00D01437" w:rsidRPr="007C697A">
        <w:rPr>
          <w:rFonts w:asciiTheme="minorHAnsi" w:hAnsiTheme="minorHAnsi" w:cs="Frutiger LT Std 45 Light"/>
          <w:b w:val="0"/>
          <w:color w:val="000000"/>
          <w:sz w:val="24"/>
          <w:szCs w:val="24"/>
          <w:lang w:eastAsia="en-GB"/>
        </w:rPr>
        <w:t xml:space="preserve">unding continues to be distributed based on the assumption that all authorities will take up the 2% increase in council tax for social care, in full. The amount that could potentially be raised from this council tax flexibility is combined with the Improved BCF </w:t>
      </w:r>
      <w:r w:rsidR="00D01437" w:rsidRPr="007C697A">
        <w:rPr>
          <w:rFonts w:asciiTheme="minorHAnsi" w:hAnsiTheme="minorHAnsi" w:cs="Frutiger LT Std 45 Light"/>
          <w:b w:val="0"/>
          <w:color w:val="000000"/>
          <w:sz w:val="24"/>
          <w:szCs w:val="24"/>
          <w:lang w:eastAsia="en-GB"/>
        </w:rPr>
        <w:lastRenderedPageBreak/>
        <w:t>funding and distributed according to the existing (2013-14) adult social care relative needs formula.</w:t>
      </w:r>
    </w:p>
    <w:p w:rsidR="00D01437" w:rsidRPr="007C697A" w:rsidRDefault="00D01437" w:rsidP="00D01437">
      <w:pPr>
        <w:pStyle w:val="ListParagraph"/>
        <w:rPr>
          <w:rFonts w:asciiTheme="minorHAnsi" w:eastAsia="Times New Roman" w:hAnsiTheme="minorHAnsi" w:cs="Frutiger LT Std 45 Light"/>
          <w:color w:val="000000"/>
          <w:sz w:val="24"/>
          <w:szCs w:val="24"/>
          <w:lang w:eastAsia="en-GB"/>
        </w:rPr>
      </w:pPr>
    </w:p>
    <w:p w:rsidR="00D01437" w:rsidRPr="007C697A" w:rsidRDefault="00D01437" w:rsidP="00D01437">
      <w:pPr>
        <w:pStyle w:val="AttachmentSubHeading"/>
        <w:spacing w:after="0"/>
        <w:jc w:val="left"/>
        <w:rPr>
          <w:rFonts w:asciiTheme="minorHAnsi" w:hAnsiTheme="minorHAnsi" w:cs="Frutiger LT Std 45 Light"/>
          <w:b w:val="0"/>
          <w:color w:val="000000"/>
          <w:sz w:val="24"/>
          <w:szCs w:val="24"/>
          <w:lang w:eastAsia="en-GB"/>
        </w:rPr>
      </w:pPr>
      <w:r w:rsidRPr="007C697A">
        <w:rPr>
          <w:rFonts w:asciiTheme="minorHAnsi" w:hAnsiTheme="minorHAnsi" w:cs="Frutiger LT Std 45 Light"/>
          <w:b w:val="0"/>
          <w:color w:val="000000"/>
          <w:sz w:val="24"/>
          <w:szCs w:val="24"/>
          <w:lang w:eastAsia="en-GB"/>
        </w:rPr>
        <w:t xml:space="preserve">Authorities forecast to raise more than this allocation from council tax do not receive an Improved BCF allocation. Authorities forecast to raise less than this allocation from council tax receive the difference in Improved BCF funding. However, Improved BCF grants are finally scaled to the total pot available. </w:t>
      </w:r>
    </w:p>
    <w:p w:rsidR="007C697A" w:rsidRPr="007C697A" w:rsidRDefault="007C697A" w:rsidP="00D01437">
      <w:pPr>
        <w:pStyle w:val="AttachmentSubHeading"/>
        <w:spacing w:after="0"/>
        <w:jc w:val="left"/>
        <w:rPr>
          <w:rFonts w:asciiTheme="minorHAnsi" w:hAnsiTheme="minorHAnsi" w:cs="Frutiger LT Std 45 Light"/>
          <w:b w:val="0"/>
          <w:color w:val="000000"/>
          <w:sz w:val="24"/>
          <w:szCs w:val="24"/>
          <w:lang w:eastAsia="en-GB"/>
        </w:rPr>
      </w:pPr>
    </w:p>
    <w:p w:rsidR="007C697A" w:rsidRPr="007C697A" w:rsidRDefault="007C697A" w:rsidP="007C697A">
      <w:pPr>
        <w:autoSpaceDE w:val="0"/>
        <w:autoSpaceDN w:val="0"/>
        <w:adjustRightInd w:val="0"/>
        <w:rPr>
          <w:rFonts w:asciiTheme="minorHAnsi" w:hAnsiTheme="minorHAnsi" w:cs="Frutiger LT Std 45 Light"/>
          <w:color w:val="000000"/>
          <w:lang w:eastAsia="en-GB"/>
        </w:rPr>
      </w:pPr>
      <w:r w:rsidRPr="007C697A">
        <w:rPr>
          <w:rFonts w:asciiTheme="minorHAnsi" w:hAnsiTheme="minorHAnsi" w:cs="Frutiger LT Std 45 Light"/>
          <w:color w:val="000000"/>
          <w:lang w:eastAsia="en-GB"/>
        </w:rPr>
        <w:t xml:space="preserve">90% of the supplementary funding is allocated according to this methodology. The remaining 10% of </w:t>
      </w:r>
      <w:r w:rsidR="0053539F" w:rsidRPr="007C697A">
        <w:rPr>
          <w:rFonts w:asciiTheme="minorHAnsi" w:hAnsiTheme="minorHAnsi" w:cs="Frutiger LT Std 45 Light"/>
          <w:color w:val="000000"/>
          <w:lang w:eastAsia="en-GB"/>
        </w:rPr>
        <w:t>supplem</w:t>
      </w:r>
      <w:r w:rsidR="0053539F">
        <w:rPr>
          <w:rFonts w:asciiTheme="minorHAnsi" w:hAnsiTheme="minorHAnsi" w:cs="Frutiger LT Std 45 Light"/>
          <w:color w:val="000000"/>
          <w:lang w:eastAsia="en-GB"/>
        </w:rPr>
        <w:t>e</w:t>
      </w:r>
      <w:r w:rsidR="0053539F" w:rsidRPr="007C697A">
        <w:rPr>
          <w:rFonts w:asciiTheme="minorHAnsi" w:hAnsiTheme="minorHAnsi" w:cs="Frutiger LT Std 45 Light"/>
          <w:color w:val="000000"/>
          <w:lang w:eastAsia="en-GB"/>
        </w:rPr>
        <w:t>ntary</w:t>
      </w:r>
      <w:r w:rsidRPr="007C697A">
        <w:rPr>
          <w:rFonts w:asciiTheme="minorHAnsi" w:hAnsiTheme="minorHAnsi" w:cs="Frutiger LT Std 45 Light"/>
          <w:color w:val="000000"/>
          <w:lang w:eastAsia="en-GB"/>
        </w:rPr>
        <w:t xml:space="preserve"> funding is distributed</w:t>
      </w:r>
      <w:r w:rsidR="0053539F">
        <w:rPr>
          <w:rFonts w:asciiTheme="minorHAnsi" w:hAnsiTheme="minorHAnsi" w:cs="Frutiger LT Std 45 Light"/>
          <w:color w:val="000000"/>
          <w:lang w:eastAsia="en-GB"/>
        </w:rPr>
        <w:t xml:space="preserve"> according the</w:t>
      </w:r>
      <w:r w:rsidRPr="007C697A">
        <w:rPr>
          <w:rFonts w:asciiTheme="minorHAnsi" w:hAnsiTheme="minorHAnsi" w:cs="Frutiger LT Std 45 Light"/>
          <w:color w:val="000000"/>
          <w:lang w:eastAsia="en-GB"/>
        </w:rPr>
        <w:t xml:space="preserve"> ASC RNF in order to “[recognise] that all local authorities face pressure on the provision of adult social care,”</w:t>
      </w:r>
    </w:p>
    <w:p w:rsidR="00D01437" w:rsidRPr="008F04BF" w:rsidRDefault="00D01437" w:rsidP="00D01437">
      <w:pPr>
        <w:rPr>
          <w:rFonts w:cs="Tahoma"/>
          <w:strike/>
          <w:highlight w:val="cyan"/>
          <w:lang w:val="en" w:eastAsia="en-GB"/>
        </w:rPr>
      </w:pPr>
    </w:p>
    <w:p w:rsidR="00371064" w:rsidRPr="00D01437" w:rsidRDefault="00371064" w:rsidP="00066949">
      <w:pPr>
        <w:pStyle w:val="AttachmentSubHeading"/>
        <w:spacing w:after="0"/>
        <w:jc w:val="left"/>
        <w:rPr>
          <w:rFonts w:asciiTheme="minorHAnsi" w:hAnsiTheme="minorHAnsi" w:cs="Arial"/>
          <w:sz w:val="24"/>
          <w:szCs w:val="24"/>
        </w:rPr>
      </w:pPr>
      <w:r w:rsidRPr="00D01437">
        <w:rPr>
          <w:rFonts w:asciiTheme="minorHAnsi" w:hAnsiTheme="minorHAnsi" w:cs="Arial"/>
          <w:sz w:val="24"/>
          <w:szCs w:val="24"/>
        </w:rPr>
        <w:t xml:space="preserve">18-19 Additional </w:t>
      </w:r>
      <w:proofErr w:type="spellStart"/>
      <w:r w:rsidRPr="00D01437">
        <w:rPr>
          <w:rFonts w:asciiTheme="minorHAnsi" w:hAnsiTheme="minorHAnsi" w:cs="Arial"/>
          <w:sz w:val="24"/>
          <w:szCs w:val="24"/>
        </w:rPr>
        <w:t>iBCF</w:t>
      </w:r>
      <w:proofErr w:type="spellEnd"/>
      <w:r w:rsidRPr="00D01437">
        <w:rPr>
          <w:rFonts w:asciiTheme="minorHAnsi" w:hAnsiTheme="minorHAnsi" w:cs="Arial"/>
          <w:sz w:val="24"/>
          <w:szCs w:val="24"/>
        </w:rPr>
        <w:t xml:space="preserve"> Review</w:t>
      </w:r>
    </w:p>
    <w:p w:rsidR="00D01437" w:rsidRPr="00D01437" w:rsidRDefault="00D01437" w:rsidP="00D01437">
      <w:pPr>
        <w:autoSpaceDE w:val="0"/>
        <w:autoSpaceDN w:val="0"/>
        <w:adjustRightInd w:val="0"/>
        <w:rPr>
          <w:rFonts w:asciiTheme="minorHAnsi" w:hAnsiTheme="minorHAnsi" w:cs="Frutiger LT Std 45 Light"/>
          <w:color w:val="000000"/>
          <w:lang w:eastAsia="en-GB"/>
        </w:rPr>
      </w:pPr>
      <w:r>
        <w:rPr>
          <w:rFonts w:asciiTheme="minorHAnsi" w:hAnsiTheme="minorHAnsi" w:cs="Frutiger LT Std 45 Light"/>
          <w:color w:val="000000"/>
          <w:lang w:eastAsia="en-GB"/>
        </w:rPr>
        <w:t xml:space="preserve">At the time of the 2017 Spring Budget the </w:t>
      </w:r>
      <w:r w:rsidRPr="00D01437">
        <w:rPr>
          <w:rFonts w:asciiTheme="minorHAnsi" w:hAnsiTheme="minorHAnsi" w:cs="Frutiger LT Std 45 Light"/>
          <w:color w:val="000000"/>
          <w:lang w:eastAsia="en-GB"/>
        </w:rPr>
        <w:t xml:space="preserve">Health and Communities Secretaries set out measures </w:t>
      </w:r>
      <w:r w:rsidRPr="00D01437">
        <w:rPr>
          <w:rFonts w:asciiTheme="minorHAnsi" w:hAnsiTheme="minorHAnsi"/>
          <w:lang w:val="en-US"/>
        </w:rPr>
        <w:t xml:space="preserve">in a </w:t>
      </w:r>
      <w:hyperlink r:id="rId24" w:history="1">
        <w:r w:rsidRPr="00D01437">
          <w:rPr>
            <w:rStyle w:val="Hyperlink"/>
            <w:rFonts w:asciiTheme="minorHAnsi" w:hAnsiTheme="minorHAnsi"/>
            <w:lang w:val="en-US"/>
          </w:rPr>
          <w:t>written ministerial statement</w:t>
        </w:r>
      </w:hyperlink>
      <w:r w:rsidRPr="00D01437">
        <w:rPr>
          <w:rFonts w:asciiTheme="minorHAnsi" w:hAnsiTheme="minorHAnsi"/>
          <w:lang w:val="en-US"/>
        </w:rPr>
        <w:t xml:space="preserve"> </w:t>
      </w:r>
      <w:r w:rsidRPr="00D01437">
        <w:rPr>
          <w:rFonts w:asciiTheme="minorHAnsi" w:hAnsiTheme="minorHAnsi" w:cs="Frutiger LT Std 45 Light"/>
          <w:color w:val="000000"/>
          <w:lang w:eastAsia="en-GB"/>
        </w:rPr>
        <w:t xml:space="preserve">to identify and support authorities which </w:t>
      </w:r>
      <w:r w:rsidR="007B19F1">
        <w:rPr>
          <w:rFonts w:asciiTheme="minorHAnsi" w:hAnsiTheme="minorHAnsi" w:cs="Frutiger LT Std 45 Light"/>
          <w:color w:val="000000"/>
          <w:lang w:eastAsia="en-GB"/>
        </w:rPr>
        <w:t>we</w:t>
      </w:r>
      <w:r w:rsidRPr="00D01437">
        <w:rPr>
          <w:rFonts w:asciiTheme="minorHAnsi" w:hAnsiTheme="minorHAnsi" w:cs="Frutiger LT Std 45 Light"/>
          <w:color w:val="000000"/>
          <w:lang w:eastAsia="en-GB"/>
        </w:rPr>
        <w:t>re struggling, and to ensure more joined up working with the NHS.</w:t>
      </w:r>
    </w:p>
    <w:p w:rsidR="00D01437" w:rsidRPr="00D01437" w:rsidRDefault="00D01437" w:rsidP="00D01437">
      <w:pPr>
        <w:pStyle w:val="ListParagraph"/>
        <w:ind w:left="0"/>
        <w:rPr>
          <w:rFonts w:asciiTheme="minorHAnsi" w:hAnsiTheme="minorHAnsi" w:cs="Frutiger LT Std 45 Light"/>
          <w:color w:val="000000"/>
          <w:sz w:val="24"/>
          <w:szCs w:val="24"/>
          <w:lang w:eastAsia="en-GB"/>
        </w:rPr>
      </w:pPr>
    </w:p>
    <w:p w:rsidR="00D01437" w:rsidRPr="00D01437" w:rsidRDefault="00D01437" w:rsidP="00D01437">
      <w:pPr>
        <w:pStyle w:val="NormalWeb"/>
        <w:spacing w:before="0" w:beforeAutospacing="0" w:after="0" w:afterAutospacing="0"/>
        <w:rPr>
          <w:rFonts w:asciiTheme="minorHAnsi" w:hAnsiTheme="minorHAnsi" w:cs="Frutiger LT Std 45 Light"/>
          <w:color w:val="000000"/>
        </w:rPr>
      </w:pPr>
      <w:r w:rsidRPr="00D01437">
        <w:rPr>
          <w:rFonts w:asciiTheme="minorHAnsi" w:hAnsiTheme="minorHAnsi" w:cs="Frutiger LT Std 45 Light"/>
          <w:color w:val="000000"/>
        </w:rPr>
        <w:t xml:space="preserve">These measures included a </w:t>
      </w:r>
      <w:r w:rsidRPr="007B19F1">
        <w:rPr>
          <w:rFonts w:asciiTheme="minorHAnsi" w:hAnsiTheme="minorHAnsi" w:cs="Frutiger LT Std 45 Light"/>
          <w:color w:val="000000"/>
        </w:rPr>
        <w:t>performance dashboard</w:t>
      </w:r>
      <w:r w:rsidRPr="007B19F1">
        <w:rPr>
          <w:rFonts w:asciiTheme="minorHAnsi" w:hAnsiTheme="minorHAnsi"/>
          <w:color w:val="000000"/>
          <w:lang w:val="en"/>
        </w:rPr>
        <w:t xml:space="preserve"> and guidance</w:t>
      </w:r>
      <w:r w:rsidRPr="00D01437">
        <w:rPr>
          <w:rFonts w:asciiTheme="minorHAnsi" w:hAnsiTheme="minorHAnsi" w:cs="Frutiger LT Std 45 Light"/>
          <w:color w:val="000000"/>
        </w:rPr>
        <w:t>. The dashboard included a breakdown of delayed days attributable to social care per 100,000 of the population and the equivalent for NHS-attributable delays. The Government also published indicative reductions required by each LA and local NHS, which c</w:t>
      </w:r>
      <w:r>
        <w:rPr>
          <w:rFonts w:asciiTheme="minorHAnsi" w:hAnsiTheme="minorHAnsi" w:cs="Frutiger LT Std 45 Light"/>
          <w:color w:val="000000"/>
        </w:rPr>
        <w:t>ould</w:t>
      </w:r>
      <w:r w:rsidRPr="00D01437">
        <w:rPr>
          <w:rFonts w:asciiTheme="minorHAnsi" w:hAnsiTheme="minorHAnsi" w:cs="Frutiger LT Std 45 Light"/>
          <w:color w:val="000000"/>
        </w:rPr>
        <w:t xml:space="preserve"> be shared differently at local level if agreed by both organisations. </w:t>
      </w:r>
    </w:p>
    <w:p w:rsidR="00D01437" w:rsidRPr="00D01437" w:rsidRDefault="00D01437" w:rsidP="00D01437">
      <w:pPr>
        <w:pStyle w:val="NormalWeb"/>
        <w:spacing w:before="0" w:beforeAutospacing="0" w:after="0" w:afterAutospacing="0"/>
        <w:rPr>
          <w:rFonts w:asciiTheme="minorHAnsi" w:hAnsiTheme="minorHAnsi" w:cs="Frutiger LT Std 45 Light"/>
          <w:color w:val="000000"/>
        </w:rPr>
      </w:pPr>
    </w:p>
    <w:p w:rsidR="00D01437" w:rsidRPr="00D01437" w:rsidRDefault="00D01437" w:rsidP="00D01437">
      <w:pPr>
        <w:pStyle w:val="ListParagraph"/>
        <w:ind w:left="0"/>
        <w:rPr>
          <w:rFonts w:asciiTheme="minorHAnsi" w:hAnsiTheme="minorHAnsi" w:cs="Tahoma"/>
          <w:bCs/>
          <w:iCs/>
          <w:sz w:val="24"/>
          <w:szCs w:val="24"/>
        </w:rPr>
      </w:pPr>
      <w:r w:rsidRPr="00D01437">
        <w:rPr>
          <w:rFonts w:asciiTheme="minorHAnsi" w:hAnsiTheme="minorHAnsi" w:cs="Tahoma"/>
          <w:bCs/>
          <w:iCs/>
          <w:sz w:val="24"/>
          <w:szCs w:val="24"/>
        </w:rPr>
        <w:t xml:space="preserve">There </w:t>
      </w:r>
      <w:r>
        <w:rPr>
          <w:rFonts w:asciiTheme="minorHAnsi" w:hAnsiTheme="minorHAnsi" w:cs="Tahoma"/>
          <w:bCs/>
          <w:iCs/>
          <w:sz w:val="24"/>
          <w:szCs w:val="24"/>
        </w:rPr>
        <w:t>wa</w:t>
      </w:r>
      <w:r w:rsidRPr="00D01437">
        <w:rPr>
          <w:rFonts w:asciiTheme="minorHAnsi" w:hAnsiTheme="minorHAnsi" w:cs="Tahoma"/>
          <w:bCs/>
          <w:iCs/>
          <w:sz w:val="24"/>
          <w:szCs w:val="24"/>
        </w:rPr>
        <w:t>s concern that the review w</w:t>
      </w:r>
      <w:r>
        <w:rPr>
          <w:rFonts w:asciiTheme="minorHAnsi" w:hAnsiTheme="minorHAnsi" w:cs="Tahoma"/>
          <w:bCs/>
          <w:iCs/>
          <w:sz w:val="24"/>
          <w:szCs w:val="24"/>
        </w:rPr>
        <w:t>ould</w:t>
      </w:r>
      <w:r w:rsidRPr="00D01437">
        <w:rPr>
          <w:rFonts w:asciiTheme="minorHAnsi" w:hAnsiTheme="minorHAnsi" w:cs="Tahoma"/>
          <w:bCs/>
          <w:iCs/>
          <w:sz w:val="24"/>
          <w:szCs w:val="24"/>
        </w:rPr>
        <w:t xml:space="preserve"> only be able to access data up until September 2017, which w</w:t>
      </w:r>
      <w:r>
        <w:rPr>
          <w:rFonts w:asciiTheme="minorHAnsi" w:hAnsiTheme="minorHAnsi" w:cs="Tahoma"/>
          <w:bCs/>
          <w:iCs/>
          <w:sz w:val="24"/>
          <w:szCs w:val="24"/>
        </w:rPr>
        <w:t>ould</w:t>
      </w:r>
      <w:r w:rsidRPr="00D01437">
        <w:rPr>
          <w:rFonts w:asciiTheme="minorHAnsi" w:hAnsiTheme="minorHAnsi" w:cs="Tahoma"/>
          <w:bCs/>
          <w:iCs/>
          <w:sz w:val="24"/>
          <w:szCs w:val="24"/>
        </w:rPr>
        <w:t xml:space="preserve"> be just two months after local authorities were notified of their targets. </w:t>
      </w:r>
    </w:p>
    <w:p w:rsidR="00D01437" w:rsidRPr="00922722" w:rsidRDefault="00D01437" w:rsidP="00D01437">
      <w:pPr>
        <w:numPr>
          <w:ilvl w:val="0"/>
          <w:numId w:val="9"/>
        </w:numPr>
        <w:ind w:left="795"/>
        <w:rPr>
          <w:vanish/>
          <w:lang w:val="en" w:eastAsia="en-GB"/>
        </w:rPr>
      </w:pPr>
      <w:r w:rsidRPr="00922722">
        <w:rPr>
          <w:vanish/>
          <w:lang w:val="en" w:eastAsia="en-GB"/>
        </w:rPr>
        <w:t>Plans for Local Government to deliver an equal share to the NHS of the expectation to free up 2,500 hospital beds, including a breakdown of delayed days per 100,000 of the population and the indicative reduction levels required by each Local Authority and local NHS, which can be shared out differently at local level if agreed by both organisations.</w:t>
      </w:r>
    </w:p>
    <w:p w:rsidR="00D01437" w:rsidRPr="00922722" w:rsidRDefault="00D01437" w:rsidP="00D01437">
      <w:pPr>
        <w:numPr>
          <w:ilvl w:val="0"/>
          <w:numId w:val="9"/>
        </w:numPr>
        <w:ind w:left="795"/>
        <w:rPr>
          <w:vanish/>
          <w:lang w:val="en" w:eastAsia="en-GB"/>
        </w:rPr>
      </w:pPr>
      <w:r w:rsidRPr="00922722">
        <w:rPr>
          <w:vanish/>
          <w:lang w:val="en" w:eastAsia="en-GB"/>
        </w:rPr>
        <w:t>Considering a review, in November, of 2018/19 allocations of the social care funding provided at Spring Budget 2017 for areas that are poorly performing. This funding will all remain with local government, to be used for adult social care.</w:t>
      </w:r>
    </w:p>
    <w:p w:rsidR="00D01437" w:rsidRPr="00922722" w:rsidRDefault="00D01437" w:rsidP="00D01437">
      <w:pPr>
        <w:numPr>
          <w:ilvl w:val="0"/>
          <w:numId w:val="9"/>
        </w:numPr>
        <w:rPr>
          <w:vanish/>
          <w:lang w:val="en" w:eastAsia="en-GB"/>
        </w:rPr>
      </w:pPr>
      <w:r w:rsidRPr="00922722">
        <w:rPr>
          <w:vanish/>
          <w:lang w:val="en" w:eastAsia="en-GB"/>
        </w:rPr>
        <w:t>Plans for Local Government to deliver an equal share to the NHS of the expectation to free up 2,500 hospital beds, including a breakdown of delayed days per 100,000 of the population and the indicative reduction levels required by each Local Authority and local NHS, which can be shared out differently at local level if agreed by both organisations.</w:t>
      </w:r>
    </w:p>
    <w:p w:rsidR="00D01437" w:rsidRPr="00922722" w:rsidRDefault="00D01437" w:rsidP="00D01437">
      <w:pPr>
        <w:numPr>
          <w:ilvl w:val="0"/>
          <w:numId w:val="9"/>
        </w:numPr>
        <w:rPr>
          <w:vanish/>
          <w:lang w:val="en" w:eastAsia="en-GB"/>
        </w:rPr>
      </w:pPr>
      <w:r w:rsidRPr="00922722">
        <w:rPr>
          <w:vanish/>
          <w:lang w:val="en" w:eastAsia="en-GB"/>
        </w:rPr>
        <w:t>Considering a review, in November, of 2018/19 allocations of the social care funding provided at Spring Budget 2017 for areas that are poorly performing. This funding will all remain with local government, to be used for adult social care.</w:t>
      </w:r>
    </w:p>
    <w:p w:rsidR="00D01437" w:rsidRPr="00922722" w:rsidRDefault="00D01437" w:rsidP="00D01437">
      <w:pPr>
        <w:numPr>
          <w:ilvl w:val="0"/>
          <w:numId w:val="9"/>
        </w:numPr>
        <w:rPr>
          <w:vanish/>
          <w:lang w:val="en" w:eastAsia="en-GB"/>
        </w:rPr>
      </w:pPr>
      <w:r w:rsidRPr="00922722">
        <w:rPr>
          <w:vanish/>
          <w:lang w:val="en" w:eastAsia="en-GB"/>
        </w:rPr>
        <w:t>Plans for Local Government to deliver an equal share to the NHS of the expectation to free up 2,500 hospital beds, including a breakdown of delayed days per 100,000 of the population and the indicative reduction levels required by each Local Authority and local NHS, which can be shared out differently at local level if agreed by both organisations.</w:t>
      </w:r>
    </w:p>
    <w:p w:rsidR="00D01437" w:rsidRPr="00922722" w:rsidRDefault="00D01437" w:rsidP="00D01437">
      <w:pPr>
        <w:numPr>
          <w:ilvl w:val="0"/>
          <w:numId w:val="9"/>
        </w:numPr>
        <w:rPr>
          <w:vanish/>
          <w:lang w:val="en" w:eastAsia="en-GB"/>
        </w:rPr>
      </w:pPr>
      <w:r w:rsidRPr="00922722">
        <w:rPr>
          <w:vanish/>
          <w:lang w:val="en" w:eastAsia="en-GB"/>
        </w:rPr>
        <w:t>Considering a review, in November, of 2018/19 allocations of the social care funding provided at Spring Budget 2017 for areas that are poorly performing. This funding will all remain with local government, to be used for adult social care.</w:t>
      </w:r>
    </w:p>
    <w:p w:rsidR="00D01437" w:rsidRPr="00922722" w:rsidRDefault="00D01437" w:rsidP="00D01437">
      <w:pPr>
        <w:pStyle w:val="ListParagraph"/>
        <w:ind w:left="0"/>
        <w:rPr>
          <w:rFonts w:cs="Frutiger LT Std 45 Light"/>
          <w:color w:val="000000"/>
          <w:sz w:val="24"/>
          <w:szCs w:val="24"/>
          <w:lang w:eastAsia="en-GB"/>
        </w:rPr>
      </w:pPr>
    </w:p>
    <w:p w:rsidR="00D01437" w:rsidRPr="00922722" w:rsidRDefault="007B19F1" w:rsidP="00D01437">
      <w:pPr>
        <w:pStyle w:val="ListParagraph"/>
        <w:ind w:left="0"/>
        <w:rPr>
          <w:rFonts w:cs="Frutiger LT Std 45 Light"/>
          <w:color w:val="000000"/>
          <w:sz w:val="24"/>
          <w:szCs w:val="24"/>
          <w:lang w:eastAsia="en-GB"/>
        </w:rPr>
      </w:pPr>
      <w:r>
        <w:rPr>
          <w:rFonts w:cs="Frutiger LT Std 45 Light"/>
          <w:color w:val="000000"/>
          <w:sz w:val="24"/>
          <w:szCs w:val="24"/>
          <w:lang w:eastAsia="en-GB"/>
        </w:rPr>
        <w:t>In October 2017</w:t>
      </w:r>
      <w:r w:rsidR="00D01437" w:rsidRPr="00922722">
        <w:rPr>
          <w:rFonts w:cs="Frutiger LT Std 45 Light"/>
          <w:color w:val="000000"/>
          <w:sz w:val="24"/>
          <w:szCs w:val="24"/>
          <w:lang w:eastAsia="en-GB"/>
        </w:rPr>
        <w:t xml:space="preserve"> the Health Secretary Jeremy Hunt wrote to 30 </w:t>
      </w:r>
      <w:r>
        <w:rPr>
          <w:rFonts w:cs="Frutiger LT Std 45 Light"/>
          <w:color w:val="000000"/>
          <w:sz w:val="24"/>
          <w:szCs w:val="24"/>
          <w:lang w:eastAsia="en-GB"/>
        </w:rPr>
        <w:t>LAs</w:t>
      </w:r>
      <w:r w:rsidR="00D01437" w:rsidRPr="00922722">
        <w:rPr>
          <w:rFonts w:cs="Frutiger LT Std 45 Light"/>
          <w:color w:val="000000"/>
          <w:sz w:val="24"/>
          <w:szCs w:val="24"/>
          <w:lang w:eastAsia="en-GB"/>
        </w:rPr>
        <w:t xml:space="preserve"> regarding their poor progress in achieving DToC targets. In his letter the Health Secretary threatened to withhold </w:t>
      </w:r>
      <w:r w:rsidR="00D01437">
        <w:rPr>
          <w:rFonts w:cs="Frutiger LT Std 45 Light"/>
          <w:color w:val="000000"/>
          <w:sz w:val="24"/>
          <w:szCs w:val="24"/>
          <w:lang w:eastAsia="en-GB"/>
        </w:rPr>
        <w:t xml:space="preserve">the supplementary </w:t>
      </w:r>
      <w:r w:rsidR="00D01437" w:rsidRPr="00922722">
        <w:rPr>
          <w:rFonts w:cs="Frutiger LT Std 45 Light"/>
          <w:color w:val="000000"/>
          <w:sz w:val="24"/>
          <w:szCs w:val="24"/>
          <w:lang w:eastAsia="en-GB"/>
        </w:rPr>
        <w:t xml:space="preserve">Better Care Fund allocations </w:t>
      </w:r>
      <w:r w:rsidR="00D01437">
        <w:rPr>
          <w:rFonts w:cs="Frutiger LT Std 45 Light"/>
          <w:color w:val="000000"/>
          <w:sz w:val="24"/>
          <w:szCs w:val="24"/>
          <w:lang w:eastAsia="en-GB"/>
        </w:rPr>
        <w:t xml:space="preserve">announced in the </w:t>
      </w:r>
      <w:proofErr w:type="gramStart"/>
      <w:r w:rsidR="00D01437">
        <w:rPr>
          <w:rFonts w:cs="Frutiger LT Std 45 Light"/>
          <w:color w:val="000000"/>
          <w:sz w:val="24"/>
          <w:szCs w:val="24"/>
          <w:lang w:eastAsia="en-GB"/>
        </w:rPr>
        <w:t>Spring</w:t>
      </w:r>
      <w:proofErr w:type="gramEnd"/>
      <w:r w:rsidR="00D01437">
        <w:rPr>
          <w:rFonts w:cs="Frutiger LT Std 45 Light"/>
          <w:color w:val="000000"/>
          <w:sz w:val="24"/>
          <w:szCs w:val="24"/>
          <w:lang w:eastAsia="en-GB"/>
        </w:rPr>
        <w:t xml:space="preserve"> 2017 Budget </w:t>
      </w:r>
      <w:r w:rsidR="00D01437" w:rsidRPr="00922722">
        <w:rPr>
          <w:rFonts w:cs="Frutiger LT Std 45 Light"/>
          <w:color w:val="000000"/>
          <w:sz w:val="24"/>
          <w:szCs w:val="24"/>
          <w:lang w:eastAsia="en-GB"/>
        </w:rPr>
        <w:t>unless these LAs improve social care so that patients can be discharged more quickly; Whitehall officials believe some local authorities are failing to spend their money wisely.</w:t>
      </w:r>
    </w:p>
    <w:p w:rsidR="00D01437" w:rsidRPr="00D01437" w:rsidRDefault="00D01437" w:rsidP="00066949">
      <w:pPr>
        <w:pStyle w:val="AttachmentSubHeading"/>
        <w:spacing w:after="0"/>
        <w:jc w:val="left"/>
        <w:rPr>
          <w:rFonts w:ascii="Calibri" w:eastAsia="Calibri" w:hAnsi="Calibri" w:cs="Frutiger LT Std 45 Light"/>
          <w:b w:val="0"/>
          <w:color w:val="000000"/>
          <w:sz w:val="24"/>
          <w:szCs w:val="24"/>
          <w:lang w:eastAsia="en-GB"/>
        </w:rPr>
      </w:pPr>
    </w:p>
    <w:p w:rsidR="00D01437" w:rsidRPr="00D01437" w:rsidRDefault="00371064" w:rsidP="00D01437">
      <w:pPr>
        <w:pStyle w:val="AttachmentSubHeading"/>
        <w:spacing w:after="0"/>
        <w:jc w:val="left"/>
        <w:rPr>
          <w:rFonts w:ascii="Calibri" w:eastAsia="Calibri" w:hAnsi="Calibri" w:cs="Frutiger LT Std 45 Light"/>
          <w:b w:val="0"/>
          <w:color w:val="000000"/>
          <w:sz w:val="24"/>
          <w:szCs w:val="24"/>
          <w:lang w:eastAsia="en-GB"/>
        </w:rPr>
      </w:pPr>
      <w:r w:rsidRPr="00D01437">
        <w:rPr>
          <w:rFonts w:ascii="Calibri" w:eastAsia="Calibri" w:hAnsi="Calibri" w:cs="Frutiger LT Std 45 Light"/>
          <w:b w:val="0"/>
          <w:color w:val="000000"/>
          <w:sz w:val="24"/>
          <w:szCs w:val="24"/>
          <w:lang w:eastAsia="en-GB"/>
        </w:rPr>
        <w:t xml:space="preserve">On </w:t>
      </w:r>
      <w:r w:rsidR="00493DA3" w:rsidRPr="00D01437">
        <w:rPr>
          <w:rFonts w:ascii="Calibri" w:eastAsia="Calibri" w:hAnsi="Calibri" w:cs="Frutiger LT Std 45 Light"/>
          <w:b w:val="0"/>
          <w:color w:val="000000"/>
          <w:sz w:val="24"/>
          <w:szCs w:val="24"/>
          <w:lang w:eastAsia="en-GB"/>
        </w:rPr>
        <w:t>5</w:t>
      </w:r>
      <w:r w:rsidRPr="00D01437">
        <w:rPr>
          <w:rFonts w:ascii="Calibri" w:eastAsia="Calibri" w:hAnsi="Calibri" w:cs="Frutiger LT Std 45 Light"/>
          <w:b w:val="0"/>
          <w:color w:val="000000"/>
          <w:sz w:val="24"/>
          <w:szCs w:val="24"/>
          <w:lang w:eastAsia="en-GB"/>
        </w:rPr>
        <w:t xml:space="preserve"> December Sajid Javid and Jeremy Hunt wrote to l</w:t>
      </w:r>
      <w:r w:rsidR="00D01437" w:rsidRPr="00D01437">
        <w:rPr>
          <w:rFonts w:ascii="Calibri" w:eastAsia="Calibri" w:hAnsi="Calibri" w:cs="Frutiger LT Std 45 Light"/>
          <w:b w:val="0"/>
          <w:color w:val="000000"/>
          <w:sz w:val="24"/>
          <w:szCs w:val="24"/>
          <w:lang w:eastAsia="en-GB"/>
        </w:rPr>
        <w:t>ocal authorities to confirm t</w:t>
      </w:r>
      <w:r w:rsidRPr="00D01437">
        <w:rPr>
          <w:rFonts w:ascii="Calibri" w:eastAsia="Calibri" w:hAnsi="Calibri" w:cs="Frutiger LT Std 45 Light"/>
          <w:b w:val="0"/>
          <w:color w:val="000000"/>
          <w:sz w:val="24"/>
          <w:szCs w:val="24"/>
          <w:lang w:eastAsia="en-GB"/>
        </w:rPr>
        <w:t>hat no council w</w:t>
      </w:r>
      <w:r w:rsidR="007B19F1">
        <w:rPr>
          <w:rFonts w:ascii="Calibri" w:eastAsia="Calibri" w:hAnsi="Calibri" w:cs="Frutiger LT Std 45 Light"/>
          <w:b w:val="0"/>
          <w:color w:val="000000"/>
          <w:sz w:val="24"/>
          <w:szCs w:val="24"/>
          <w:lang w:eastAsia="en-GB"/>
        </w:rPr>
        <w:t>ould</w:t>
      </w:r>
      <w:r w:rsidRPr="00D01437">
        <w:rPr>
          <w:rFonts w:ascii="Calibri" w:eastAsia="Calibri" w:hAnsi="Calibri" w:cs="Frutiger LT Std 45 Light"/>
          <w:b w:val="0"/>
          <w:color w:val="000000"/>
          <w:sz w:val="24"/>
          <w:szCs w:val="24"/>
          <w:lang w:eastAsia="en-GB"/>
        </w:rPr>
        <w:t xml:space="preserve"> receive less funding than their previously published allocation</w:t>
      </w:r>
      <w:r w:rsidR="00D01437" w:rsidRPr="00D01437">
        <w:rPr>
          <w:rFonts w:ascii="Calibri" w:eastAsia="Calibri" w:hAnsi="Calibri" w:cs="Frutiger LT Std 45 Light"/>
          <w:b w:val="0"/>
          <w:color w:val="000000"/>
          <w:sz w:val="24"/>
          <w:szCs w:val="24"/>
          <w:lang w:eastAsia="en-GB"/>
        </w:rPr>
        <w:t xml:space="preserve">. </w:t>
      </w:r>
    </w:p>
    <w:p w:rsidR="00D01437" w:rsidRPr="00D01437" w:rsidRDefault="00D01437" w:rsidP="00D01437">
      <w:pPr>
        <w:pStyle w:val="AttachmentSubHeading"/>
        <w:spacing w:after="0"/>
        <w:jc w:val="left"/>
        <w:rPr>
          <w:rFonts w:ascii="Calibri" w:eastAsia="Calibri" w:hAnsi="Calibri" w:cs="Frutiger LT Std 45 Light"/>
          <w:b w:val="0"/>
          <w:color w:val="000000"/>
          <w:sz w:val="24"/>
          <w:szCs w:val="24"/>
          <w:lang w:eastAsia="en-GB"/>
        </w:rPr>
      </w:pPr>
    </w:p>
    <w:p w:rsidR="007B19F1" w:rsidRPr="00D01437" w:rsidRDefault="00D01437" w:rsidP="00D01437">
      <w:pPr>
        <w:pStyle w:val="AttachmentSubHeading"/>
        <w:spacing w:after="0"/>
        <w:jc w:val="left"/>
        <w:rPr>
          <w:rFonts w:ascii="Calibri" w:eastAsia="Calibri" w:hAnsi="Calibri" w:cs="Frutiger LT Std 45 Light"/>
          <w:b w:val="0"/>
          <w:color w:val="000000"/>
          <w:sz w:val="24"/>
          <w:szCs w:val="24"/>
          <w:lang w:eastAsia="en-GB"/>
        </w:rPr>
      </w:pPr>
      <w:r w:rsidRPr="00D01437">
        <w:rPr>
          <w:rFonts w:ascii="Calibri" w:eastAsia="Calibri" w:hAnsi="Calibri" w:cs="Frutiger LT Std 45 Light"/>
          <w:b w:val="0"/>
          <w:color w:val="000000"/>
          <w:sz w:val="24"/>
          <w:szCs w:val="24"/>
          <w:lang w:eastAsia="en-GB"/>
        </w:rPr>
        <w:t>However</w:t>
      </w:r>
      <w:r w:rsidR="00371064" w:rsidRPr="00D01437">
        <w:rPr>
          <w:rFonts w:ascii="Calibri" w:eastAsia="Calibri" w:hAnsi="Calibri" w:cs="Frutiger LT Std 45 Light"/>
          <w:b w:val="0"/>
          <w:color w:val="000000"/>
          <w:sz w:val="24"/>
          <w:szCs w:val="24"/>
          <w:lang w:eastAsia="en-GB"/>
        </w:rPr>
        <w:t>, a handful of councils were told that they may still be subject to conditions on a proportion – no more than a third - of their 2018-19 additional iBCF allocation. These are councils whose performance remain in the bottom quartile (based on the latest data) and ha</w:t>
      </w:r>
      <w:r w:rsidR="007B19F1">
        <w:rPr>
          <w:rFonts w:ascii="Calibri" w:eastAsia="Calibri" w:hAnsi="Calibri" w:cs="Frutiger LT Std 45 Light"/>
          <w:b w:val="0"/>
          <w:color w:val="000000"/>
          <w:sz w:val="24"/>
          <w:szCs w:val="24"/>
          <w:lang w:eastAsia="en-GB"/>
        </w:rPr>
        <w:t>ve</w:t>
      </w:r>
      <w:r w:rsidR="00371064" w:rsidRPr="00D01437">
        <w:rPr>
          <w:rFonts w:ascii="Calibri" w:eastAsia="Calibri" w:hAnsi="Calibri" w:cs="Frutiger LT Std 45 Light"/>
          <w:b w:val="0"/>
          <w:color w:val="000000"/>
          <w:sz w:val="24"/>
          <w:szCs w:val="24"/>
          <w:lang w:eastAsia="en-GB"/>
        </w:rPr>
        <w:t xml:space="preserve"> not improved over the past year nor since last winter’s peak in February.  The Government will be looking closely at their performance in January 2018 (November 2017 data) to confirm whether this is necessary.</w:t>
      </w:r>
      <w:r w:rsidR="007B19F1">
        <w:rPr>
          <w:rFonts w:ascii="Calibri" w:eastAsia="Calibri" w:hAnsi="Calibri" w:cs="Frutiger LT Std 45 Light"/>
          <w:b w:val="0"/>
          <w:color w:val="000000"/>
          <w:sz w:val="24"/>
          <w:szCs w:val="24"/>
          <w:lang w:eastAsia="en-GB"/>
        </w:rPr>
        <w:t xml:space="preserve"> </w:t>
      </w:r>
    </w:p>
    <w:p w:rsidR="008F04BF" w:rsidRDefault="008F04BF" w:rsidP="00066949">
      <w:pPr>
        <w:jc w:val="both"/>
        <w:rPr>
          <w:rFonts w:ascii="Calibri" w:hAnsi="Calibri" w:cs="Arial"/>
        </w:rPr>
      </w:pPr>
    </w:p>
    <w:p w:rsidR="007C697A" w:rsidRPr="007C697A" w:rsidRDefault="007C697A" w:rsidP="007C697A">
      <w:pPr>
        <w:jc w:val="both"/>
        <w:rPr>
          <w:rFonts w:asciiTheme="minorHAnsi" w:hAnsiTheme="minorHAnsi" w:cs="Arial"/>
          <w:b/>
        </w:rPr>
      </w:pPr>
      <w:r w:rsidRPr="007C697A">
        <w:rPr>
          <w:rFonts w:asciiTheme="minorHAnsi" w:hAnsiTheme="minorHAnsi" w:cs="Arial"/>
          <w:b/>
        </w:rPr>
        <w:t>Former Independent Living Fund</w:t>
      </w:r>
    </w:p>
    <w:p w:rsidR="007C697A" w:rsidRPr="007C697A" w:rsidRDefault="007C697A" w:rsidP="007C697A">
      <w:pPr>
        <w:pStyle w:val="NormalWeb"/>
        <w:shd w:val="clear" w:color="auto" w:fill="FFFFFF"/>
        <w:spacing w:before="0" w:beforeAutospacing="0" w:after="0" w:afterAutospacing="0"/>
        <w:rPr>
          <w:rFonts w:asciiTheme="minorHAnsi" w:hAnsiTheme="minorHAnsi" w:cs="Arial"/>
          <w:color w:val="0B0C0C"/>
        </w:rPr>
      </w:pPr>
      <w:r w:rsidRPr="007C697A">
        <w:rPr>
          <w:rFonts w:asciiTheme="minorHAnsi" w:hAnsiTheme="minorHAnsi" w:cs="Arial"/>
        </w:rPr>
        <w:t xml:space="preserve">In 2016 in their consultation the Government </w:t>
      </w:r>
      <w:r w:rsidRPr="007C697A">
        <w:rPr>
          <w:rFonts w:asciiTheme="minorHAnsi" w:hAnsiTheme="minorHAnsi" w:cs="Arial"/>
          <w:color w:val="0B0C0C"/>
        </w:rPr>
        <w:t>set out the amount and proposed distribution of the new ‘former Independent Living Fund (ILF) recipient grant, which compensates for the cost pressures caused by the closure of the ILF. The consultation invited comments on the proposed methodology for the value of the grant and the allocation of the funding.</w:t>
      </w:r>
    </w:p>
    <w:p w:rsidR="007C697A" w:rsidRPr="007C697A" w:rsidRDefault="007C697A" w:rsidP="007C697A">
      <w:pPr>
        <w:pStyle w:val="NormalWeb"/>
        <w:shd w:val="clear" w:color="auto" w:fill="FFFFFF"/>
        <w:spacing w:before="0" w:beforeAutospacing="0" w:after="0" w:afterAutospacing="0"/>
        <w:rPr>
          <w:rFonts w:asciiTheme="minorHAnsi" w:hAnsiTheme="minorHAnsi" w:cs="Arial"/>
          <w:color w:val="0B0C0C"/>
        </w:rPr>
      </w:pPr>
      <w:r w:rsidRPr="007C697A">
        <w:rPr>
          <w:rFonts w:asciiTheme="minorHAnsi" w:hAnsiTheme="minorHAnsi" w:cs="Arial"/>
          <w:color w:val="0B0C0C"/>
        </w:rPr>
        <w:lastRenderedPageBreak/>
        <w:t>Today</w:t>
      </w:r>
      <w:r w:rsidR="00633D67">
        <w:rPr>
          <w:rFonts w:asciiTheme="minorHAnsi" w:hAnsiTheme="minorHAnsi" w:cs="Arial"/>
          <w:color w:val="0B0C0C"/>
        </w:rPr>
        <w:t>,</w:t>
      </w:r>
      <w:r w:rsidRPr="007C697A">
        <w:rPr>
          <w:rFonts w:asciiTheme="minorHAnsi" w:hAnsiTheme="minorHAnsi" w:cs="Arial"/>
          <w:color w:val="0B0C0C"/>
        </w:rPr>
        <w:t xml:space="preserve"> a </w:t>
      </w:r>
      <w:hyperlink r:id="rId25" w:history="1">
        <w:r w:rsidRPr="007C697A">
          <w:rPr>
            <w:rStyle w:val="Hyperlink"/>
            <w:rFonts w:asciiTheme="minorHAnsi" w:hAnsiTheme="minorHAnsi" w:cs="Arial"/>
          </w:rPr>
          <w:t>response</w:t>
        </w:r>
      </w:hyperlink>
      <w:r w:rsidRPr="007C697A">
        <w:rPr>
          <w:rFonts w:asciiTheme="minorHAnsi" w:hAnsiTheme="minorHAnsi" w:cs="Arial"/>
          <w:color w:val="0B0C0C"/>
        </w:rPr>
        <w:t xml:space="preserve"> by the Government confirms</w:t>
      </w:r>
      <w:r w:rsidRPr="007C697A">
        <w:rPr>
          <w:rFonts w:asciiTheme="minorHAnsi" w:hAnsiTheme="minorHAnsi"/>
        </w:rPr>
        <w:t xml:space="preserve"> that the ‘Former ILF Recipient Grant’ will be paid to local authorities as outlined in the consultation document.</w:t>
      </w:r>
    </w:p>
    <w:p w:rsidR="007C697A" w:rsidRDefault="007C697A" w:rsidP="00066949">
      <w:pPr>
        <w:jc w:val="both"/>
        <w:rPr>
          <w:rFonts w:ascii="Calibri" w:hAnsi="Calibri" w:cs="Arial"/>
          <w:highlight w:val="cyan"/>
        </w:rPr>
      </w:pPr>
    </w:p>
    <w:p w:rsidR="007C697A" w:rsidRDefault="007C697A" w:rsidP="007C697A">
      <w:pPr>
        <w:pStyle w:val="NormalWeb"/>
        <w:shd w:val="clear" w:color="auto" w:fill="FFFFFF"/>
        <w:spacing w:before="0" w:beforeAutospacing="0" w:after="0" w:afterAutospacing="0"/>
        <w:textAlignment w:val="baseline"/>
        <w:rPr>
          <w:rFonts w:ascii="Calibri" w:hAnsi="Calibri" w:cs="Arial"/>
          <w:b/>
          <w:lang w:eastAsia="en-US"/>
        </w:rPr>
      </w:pPr>
      <w:r>
        <w:rPr>
          <w:rFonts w:ascii="Calibri" w:hAnsi="Calibri" w:cs="Arial"/>
          <w:b/>
          <w:lang w:eastAsia="en-US"/>
        </w:rPr>
        <w:t>Flexible Homelessness Support Grant</w:t>
      </w:r>
    </w:p>
    <w:p w:rsidR="007C697A" w:rsidRPr="007C697A" w:rsidRDefault="007C697A" w:rsidP="007C697A">
      <w:pPr>
        <w:pStyle w:val="NormalWeb"/>
        <w:shd w:val="clear" w:color="auto" w:fill="FFFFFF"/>
        <w:spacing w:before="0" w:beforeAutospacing="0" w:after="0" w:afterAutospacing="0"/>
        <w:textAlignment w:val="baseline"/>
        <w:rPr>
          <w:rFonts w:asciiTheme="minorHAnsi" w:hAnsiTheme="minorHAnsi" w:cs="Arial"/>
          <w:color w:val="0B0C0C"/>
          <w:shd w:val="clear" w:color="auto" w:fill="FFFFFF"/>
        </w:rPr>
      </w:pPr>
      <w:r w:rsidRPr="007C697A">
        <w:rPr>
          <w:rFonts w:asciiTheme="minorHAnsi" w:hAnsiTheme="minorHAnsi" w:cs="Arial"/>
          <w:color w:val="0B0C0C"/>
          <w:shd w:val="clear" w:color="auto" w:fill="FFFFFF"/>
        </w:rPr>
        <w:t xml:space="preserve">The new flexible homelessness support grant will come in from 1 April 2017. It replaces DWP’s temporary accommodation management fee. Details of allocations for local authorities can be found </w:t>
      </w:r>
      <w:hyperlink r:id="rId26" w:history="1">
        <w:r w:rsidRPr="007C697A">
          <w:rPr>
            <w:rStyle w:val="Hyperlink"/>
            <w:rFonts w:asciiTheme="minorHAnsi" w:hAnsiTheme="minorHAnsi" w:cs="Arial"/>
            <w:shd w:val="clear" w:color="auto" w:fill="FFFFFF"/>
          </w:rPr>
          <w:t>here</w:t>
        </w:r>
      </w:hyperlink>
      <w:r w:rsidRPr="007C697A">
        <w:rPr>
          <w:rFonts w:asciiTheme="minorHAnsi" w:hAnsiTheme="minorHAnsi" w:cs="Arial"/>
          <w:color w:val="0B0C0C"/>
          <w:shd w:val="clear" w:color="auto" w:fill="FFFFFF"/>
        </w:rPr>
        <w:t xml:space="preserve">. </w:t>
      </w:r>
    </w:p>
    <w:p w:rsidR="007C697A" w:rsidRDefault="007C697A" w:rsidP="007C697A">
      <w:pPr>
        <w:pStyle w:val="NormalWeb"/>
        <w:shd w:val="clear" w:color="auto" w:fill="FFFFFF"/>
        <w:spacing w:before="0" w:beforeAutospacing="0" w:after="0" w:afterAutospacing="0"/>
        <w:textAlignment w:val="baseline"/>
        <w:rPr>
          <w:rFonts w:ascii="Calibri" w:hAnsi="Calibri" w:cs="Arial"/>
          <w:b/>
          <w:lang w:eastAsia="en-US"/>
        </w:rPr>
      </w:pPr>
    </w:p>
    <w:p w:rsidR="007C697A" w:rsidRPr="00C81396" w:rsidRDefault="007C697A" w:rsidP="007C697A">
      <w:pPr>
        <w:pStyle w:val="NormalWeb"/>
        <w:shd w:val="clear" w:color="auto" w:fill="FFFFFF"/>
        <w:spacing w:before="0" w:beforeAutospacing="0" w:after="0" w:afterAutospacing="0"/>
        <w:textAlignment w:val="baseline"/>
        <w:rPr>
          <w:rFonts w:ascii="Calibri" w:hAnsi="Calibri" w:cs="Arial"/>
          <w:b/>
          <w:lang w:eastAsia="en-US"/>
        </w:rPr>
      </w:pPr>
      <w:r>
        <w:rPr>
          <w:rFonts w:ascii="Calibri" w:hAnsi="Calibri" w:cs="Arial"/>
          <w:b/>
          <w:lang w:eastAsia="en-US"/>
        </w:rPr>
        <w:t>Homelessness Reduction Act: new burdens funding</w:t>
      </w:r>
    </w:p>
    <w:p w:rsidR="007C697A" w:rsidRPr="007C697A" w:rsidRDefault="007C697A" w:rsidP="007C697A">
      <w:pPr>
        <w:pStyle w:val="NormalWeb"/>
        <w:shd w:val="clear" w:color="auto" w:fill="FFFFFF"/>
        <w:spacing w:before="0" w:beforeAutospacing="0" w:after="0" w:afterAutospacing="0"/>
        <w:textAlignment w:val="baseline"/>
        <w:rPr>
          <w:rFonts w:asciiTheme="minorHAnsi" w:hAnsiTheme="minorHAnsi" w:cs="Arial"/>
          <w:color w:val="0B0C0C"/>
          <w:shd w:val="clear" w:color="auto" w:fill="FFFFFF"/>
        </w:rPr>
      </w:pPr>
      <w:r w:rsidRPr="007C697A">
        <w:rPr>
          <w:rFonts w:asciiTheme="minorHAnsi" w:hAnsiTheme="minorHAnsi" w:cs="Arial"/>
          <w:color w:val="0B0C0C"/>
          <w:shd w:val="clear" w:color="auto" w:fill="FFFFFF"/>
        </w:rPr>
        <w:t xml:space="preserve">Information on the new burdens funding local authorities have been allocated to implement the Homelessness Reduction Act can be accessed </w:t>
      </w:r>
      <w:hyperlink r:id="rId27" w:history="1">
        <w:r w:rsidRPr="007C697A">
          <w:rPr>
            <w:rStyle w:val="Hyperlink"/>
            <w:rFonts w:asciiTheme="minorHAnsi" w:hAnsiTheme="minorHAnsi" w:cs="Arial"/>
            <w:shd w:val="clear" w:color="auto" w:fill="FFFFFF"/>
          </w:rPr>
          <w:t>here</w:t>
        </w:r>
      </w:hyperlink>
      <w:r w:rsidRPr="007C697A">
        <w:rPr>
          <w:rFonts w:asciiTheme="minorHAnsi" w:hAnsiTheme="minorHAnsi" w:cs="Arial"/>
          <w:color w:val="0B0C0C"/>
          <w:shd w:val="clear" w:color="auto" w:fill="FFFFFF"/>
        </w:rPr>
        <w:t>.</w:t>
      </w:r>
    </w:p>
    <w:p w:rsidR="007C697A" w:rsidRPr="00A47228" w:rsidRDefault="007C697A" w:rsidP="00066949">
      <w:pPr>
        <w:jc w:val="both"/>
        <w:rPr>
          <w:rFonts w:ascii="Calibri" w:hAnsi="Calibri" w:cs="Arial"/>
          <w:highlight w:val="cyan"/>
        </w:rPr>
      </w:pPr>
    </w:p>
    <w:p w:rsidR="00066949" w:rsidRPr="00C81396" w:rsidRDefault="00066949" w:rsidP="00066949">
      <w:pPr>
        <w:pStyle w:val="NormalWeb"/>
        <w:shd w:val="clear" w:color="auto" w:fill="FFFFFF"/>
        <w:spacing w:before="0" w:beforeAutospacing="0" w:after="0" w:afterAutospacing="0"/>
        <w:textAlignment w:val="baseline"/>
        <w:rPr>
          <w:rFonts w:ascii="Calibri" w:hAnsi="Calibri" w:cs="Arial"/>
          <w:b/>
          <w:lang w:eastAsia="en-US"/>
        </w:rPr>
      </w:pPr>
      <w:r w:rsidRPr="00C81396">
        <w:rPr>
          <w:rFonts w:ascii="Calibri" w:hAnsi="Calibri" w:cs="Arial"/>
          <w:b/>
          <w:lang w:eastAsia="en-US"/>
        </w:rPr>
        <w:t>Highway Maintenance Funding</w:t>
      </w:r>
    </w:p>
    <w:p w:rsidR="00066949" w:rsidRPr="00C81396" w:rsidRDefault="00066949" w:rsidP="00066949">
      <w:pPr>
        <w:pStyle w:val="NormalWeb"/>
        <w:shd w:val="clear" w:color="auto" w:fill="FFFFFF"/>
        <w:spacing w:before="0" w:beforeAutospacing="0" w:after="0" w:afterAutospacing="0"/>
        <w:textAlignment w:val="baseline"/>
        <w:rPr>
          <w:rFonts w:ascii="Calibri" w:hAnsi="Calibri" w:cs="Arial"/>
          <w:lang w:eastAsia="en-US"/>
        </w:rPr>
      </w:pPr>
      <w:r w:rsidRPr="00C81396">
        <w:rPr>
          <w:rFonts w:ascii="Calibri" w:hAnsi="Calibri" w:cs="Arial"/>
          <w:lang w:eastAsia="en-US"/>
        </w:rPr>
        <w:t xml:space="preserve">Highway Maintenance Funding Allocations up to 2019-20 have been published </w:t>
      </w:r>
      <w:hyperlink r:id="rId28" w:history="1">
        <w:r w:rsidRPr="00C81396">
          <w:rPr>
            <w:rStyle w:val="Hyperlink"/>
            <w:rFonts w:ascii="Calibri" w:hAnsi="Calibri" w:cs="Arial"/>
            <w:lang w:eastAsia="en-US"/>
          </w:rPr>
          <w:t>here</w:t>
        </w:r>
      </w:hyperlink>
      <w:r w:rsidRPr="00C81396">
        <w:rPr>
          <w:rFonts w:ascii="Calibri" w:hAnsi="Calibri" w:cs="Arial"/>
          <w:lang w:eastAsia="en-US"/>
        </w:rPr>
        <w:t>.</w:t>
      </w:r>
    </w:p>
    <w:p w:rsidR="00066949" w:rsidRPr="007C697A" w:rsidRDefault="00066949" w:rsidP="00066949">
      <w:pPr>
        <w:pStyle w:val="NormalWeb"/>
        <w:shd w:val="clear" w:color="auto" w:fill="FFFFFF"/>
        <w:spacing w:before="0" w:beforeAutospacing="0" w:after="0" w:afterAutospacing="0"/>
        <w:textAlignment w:val="baseline"/>
        <w:rPr>
          <w:rFonts w:ascii="Calibri" w:hAnsi="Calibri" w:cs="Arial"/>
          <w:lang w:eastAsia="en-US"/>
        </w:rPr>
      </w:pPr>
    </w:p>
    <w:p w:rsidR="00066949" w:rsidRPr="007C697A" w:rsidRDefault="00066949" w:rsidP="00066949">
      <w:pPr>
        <w:pStyle w:val="NormalWeb"/>
        <w:shd w:val="clear" w:color="auto" w:fill="FFFFFF"/>
        <w:spacing w:before="0" w:beforeAutospacing="0" w:after="0" w:afterAutospacing="0"/>
        <w:textAlignment w:val="baseline"/>
        <w:rPr>
          <w:rFonts w:ascii="Calibri" w:hAnsi="Calibri" w:cs="Arial"/>
          <w:b/>
          <w:lang w:eastAsia="en-US"/>
        </w:rPr>
      </w:pPr>
      <w:r w:rsidRPr="007C697A">
        <w:rPr>
          <w:rFonts w:ascii="Calibri" w:hAnsi="Calibri" w:cs="Arial"/>
          <w:b/>
          <w:lang w:eastAsia="en-US"/>
        </w:rPr>
        <w:t>Lead Local Flood Grant</w:t>
      </w:r>
    </w:p>
    <w:p w:rsidR="00066949" w:rsidRPr="007C697A" w:rsidRDefault="00066949" w:rsidP="00066949">
      <w:pPr>
        <w:pStyle w:val="NormalWeb"/>
        <w:shd w:val="clear" w:color="auto" w:fill="FFFFFF"/>
        <w:spacing w:before="0" w:beforeAutospacing="0" w:after="0" w:afterAutospacing="0"/>
        <w:textAlignment w:val="baseline"/>
        <w:rPr>
          <w:rFonts w:ascii="Calibri" w:hAnsi="Calibri" w:cs="Arial"/>
          <w:lang w:eastAsia="en-US"/>
        </w:rPr>
      </w:pPr>
      <w:r w:rsidRPr="007C697A">
        <w:rPr>
          <w:rFonts w:ascii="Calibri" w:hAnsi="Calibri" w:cs="Arial"/>
          <w:lang w:eastAsia="en-US"/>
        </w:rPr>
        <w:t xml:space="preserve">Local authority allocations of the s31 Lead Local Flood Grant for 2017-18 to 2019-20 have been published </w:t>
      </w:r>
      <w:hyperlink r:id="rId29" w:history="1">
        <w:r w:rsidRPr="007C697A">
          <w:rPr>
            <w:rStyle w:val="Hyperlink"/>
            <w:rFonts w:ascii="Calibri" w:hAnsi="Calibri" w:cs="Arial"/>
            <w:lang w:eastAsia="en-US"/>
          </w:rPr>
          <w:t>here</w:t>
        </w:r>
      </w:hyperlink>
      <w:r w:rsidRPr="007C697A">
        <w:rPr>
          <w:rFonts w:ascii="Calibri" w:hAnsi="Calibri" w:cs="Arial"/>
          <w:lang w:eastAsia="en-US"/>
        </w:rPr>
        <w:t>. The grant totals £4m in 2018-19 and £4.3m in 2019-20.</w:t>
      </w:r>
    </w:p>
    <w:p w:rsidR="00066949" w:rsidRPr="00A47228" w:rsidRDefault="00066949" w:rsidP="00066949">
      <w:pPr>
        <w:pStyle w:val="NormalWeb"/>
        <w:shd w:val="clear" w:color="auto" w:fill="FFFFFF"/>
        <w:spacing w:before="0" w:beforeAutospacing="0" w:after="0" w:afterAutospacing="0"/>
        <w:textAlignment w:val="baseline"/>
        <w:rPr>
          <w:rFonts w:ascii="Calibri" w:hAnsi="Calibri" w:cs="Arial"/>
          <w:highlight w:val="cyan"/>
          <w:lang w:eastAsia="en-US"/>
        </w:rPr>
      </w:pPr>
    </w:p>
    <w:p w:rsidR="00066949" w:rsidRPr="00236579" w:rsidRDefault="00236579" w:rsidP="00066949">
      <w:pPr>
        <w:jc w:val="both"/>
        <w:rPr>
          <w:rFonts w:ascii="Calibri" w:hAnsi="Calibri" w:cs="Arial"/>
          <w:b/>
        </w:rPr>
      </w:pPr>
      <w:r w:rsidRPr="00236579">
        <w:rPr>
          <w:rFonts w:ascii="Calibri" w:hAnsi="Calibri" w:cs="Arial"/>
          <w:b/>
        </w:rPr>
        <w:t>Capital Flexibilities</w:t>
      </w:r>
    </w:p>
    <w:p w:rsidR="00065CDA" w:rsidRDefault="00236579" w:rsidP="00066949">
      <w:pPr>
        <w:jc w:val="both"/>
        <w:rPr>
          <w:rFonts w:ascii="Arial" w:hAnsi="Arial" w:cs="Arial"/>
          <w:color w:val="0B0C0C"/>
          <w:sz w:val="29"/>
          <w:szCs w:val="29"/>
          <w:shd w:val="clear" w:color="auto" w:fill="FFFFFF"/>
        </w:rPr>
      </w:pPr>
      <w:r w:rsidRPr="00236579">
        <w:rPr>
          <w:rFonts w:ascii="Calibri" w:hAnsi="Calibri" w:cs="Arial"/>
        </w:rPr>
        <w:t>Sajid Javid announced the continuation of capital receipt</w:t>
      </w:r>
      <w:r w:rsidR="00065CDA">
        <w:rPr>
          <w:rFonts w:ascii="Calibri" w:hAnsi="Calibri" w:cs="Arial"/>
        </w:rPr>
        <w:t>s</w:t>
      </w:r>
      <w:r w:rsidRPr="00236579">
        <w:rPr>
          <w:rFonts w:ascii="Calibri" w:hAnsi="Calibri" w:cs="Arial"/>
        </w:rPr>
        <w:t xml:space="preserve"> flexibilit</w:t>
      </w:r>
      <w:r w:rsidR="00065CDA">
        <w:rPr>
          <w:rFonts w:ascii="Calibri" w:hAnsi="Calibri" w:cs="Arial"/>
        </w:rPr>
        <w:t>y programme</w:t>
      </w:r>
      <w:r w:rsidRPr="00236579">
        <w:rPr>
          <w:rFonts w:ascii="Calibri" w:hAnsi="Calibri" w:cs="Arial"/>
        </w:rPr>
        <w:t xml:space="preserve"> for a further three years</w:t>
      </w:r>
      <w:r>
        <w:rPr>
          <w:rFonts w:ascii="Calibri" w:hAnsi="Calibri" w:cs="Arial"/>
        </w:rPr>
        <w:t xml:space="preserve"> </w:t>
      </w:r>
      <w:r w:rsidRPr="00065CDA">
        <w:rPr>
          <w:rFonts w:ascii="Calibri" w:hAnsi="Calibri" w:cs="Arial"/>
        </w:rPr>
        <w:t xml:space="preserve">enabling local authorities to </w:t>
      </w:r>
      <w:r w:rsidR="00065CDA" w:rsidRPr="00065CDA">
        <w:rPr>
          <w:rFonts w:ascii="Calibri" w:hAnsi="Calibri" w:cs="Arial"/>
        </w:rPr>
        <w:t>use capital receipts from the sale of their own assets.</w:t>
      </w:r>
    </w:p>
    <w:p w:rsidR="007D3F4F" w:rsidRDefault="007D3F4F" w:rsidP="007D3F4F">
      <w:pPr>
        <w:pStyle w:val="NoSpacing"/>
      </w:pPr>
    </w:p>
    <w:p w:rsidR="008F04BF" w:rsidRPr="00AF5272" w:rsidRDefault="008F04BF" w:rsidP="007D3F4F">
      <w:pPr>
        <w:pStyle w:val="NoSpacing"/>
        <w:rPr>
          <w:b/>
          <w:sz w:val="24"/>
          <w:szCs w:val="24"/>
        </w:rPr>
      </w:pPr>
      <w:r w:rsidRPr="00AF5272">
        <w:rPr>
          <w:b/>
          <w:sz w:val="24"/>
          <w:szCs w:val="24"/>
        </w:rPr>
        <w:t>Local Authority Mergers</w:t>
      </w:r>
    </w:p>
    <w:p w:rsidR="00AF5272" w:rsidRDefault="00AF5272" w:rsidP="007D3F4F">
      <w:pPr>
        <w:pStyle w:val="NoSpacing"/>
        <w:rPr>
          <w:sz w:val="24"/>
          <w:szCs w:val="24"/>
        </w:rPr>
      </w:pPr>
      <w:r>
        <w:rPr>
          <w:sz w:val="24"/>
          <w:szCs w:val="24"/>
        </w:rPr>
        <w:t xml:space="preserve">Sajid Javid recently announced that he was </w:t>
      </w:r>
      <w:r w:rsidR="00C839B2">
        <w:rPr>
          <w:sz w:val="24"/>
          <w:szCs w:val="24"/>
        </w:rPr>
        <w:t>“</w:t>
      </w:r>
      <w:r>
        <w:rPr>
          <w:sz w:val="24"/>
          <w:szCs w:val="24"/>
        </w:rPr>
        <w:t>minded to</w:t>
      </w:r>
      <w:r w:rsidR="00C839B2">
        <w:rPr>
          <w:sz w:val="24"/>
          <w:szCs w:val="24"/>
        </w:rPr>
        <w:t>”</w:t>
      </w:r>
      <w:r>
        <w:rPr>
          <w:sz w:val="24"/>
          <w:szCs w:val="24"/>
        </w:rPr>
        <w:t xml:space="preserve"> support the following mergers:</w:t>
      </w:r>
    </w:p>
    <w:p w:rsidR="00AF5272" w:rsidRDefault="00AF5272" w:rsidP="00AF5272">
      <w:pPr>
        <w:pStyle w:val="NoSpacing"/>
        <w:numPr>
          <w:ilvl w:val="0"/>
          <w:numId w:val="8"/>
        </w:numPr>
        <w:rPr>
          <w:sz w:val="24"/>
          <w:szCs w:val="24"/>
        </w:rPr>
      </w:pPr>
      <w:r>
        <w:rPr>
          <w:sz w:val="24"/>
          <w:szCs w:val="24"/>
        </w:rPr>
        <w:t>Taunton Deane Borough Council and West Somerset District Council to merge into a single district council</w:t>
      </w:r>
    </w:p>
    <w:p w:rsidR="00AF5272" w:rsidRDefault="00AF5272" w:rsidP="00AF5272">
      <w:pPr>
        <w:pStyle w:val="NoSpacing"/>
        <w:numPr>
          <w:ilvl w:val="0"/>
          <w:numId w:val="8"/>
        </w:numPr>
        <w:rPr>
          <w:sz w:val="24"/>
          <w:szCs w:val="24"/>
        </w:rPr>
      </w:pPr>
      <w:r>
        <w:rPr>
          <w:sz w:val="24"/>
          <w:szCs w:val="24"/>
        </w:rPr>
        <w:t xml:space="preserve">Forest Heath District Council and St </w:t>
      </w:r>
      <w:proofErr w:type="spellStart"/>
      <w:r>
        <w:rPr>
          <w:sz w:val="24"/>
          <w:szCs w:val="24"/>
        </w:rPr>
        <w:t>Edmundsbury</w:t>
      </w:r>
      <w:proofErr w:type="spellEnd"/>
      <w:r>
        <w:rPr>
          <w:sz w:val="24"/>
          <w:szCs w:val="24"/>
        </w:rPr>
        <w:t xml:space="preserve"> Borough Council to merger into a single district council</w:t>
      </w:r>
    </w:p>
    <w:p w:rsidR="00C839B2" w:rsidRDefault="00C839B2" w:rsidP="00AF5272">
      <w:pPr>
        <w:pStyle w:val="NoSpacing"/>
        <w:numPr>
          <w:ilvl w:val="0"/>
          <w:numId w:val="8"/>
        </w:numPr>
        <w:rPr>
          <w:sz w:val="24"/>
          <w:szCs w:val="24"/>
        </w:rPr>
      </w:pPr>
      <w:r>
        <w:rPr>
          <w:sz w:val="24"/>
          <w:szCs w:val="24"/>
        </w:rPr>
        <w:t>Bournemouth (Unitary), Poole (Unitary) and Christchurch district to form a larger unitary authority</w:t>
      </w:r>
    </w:p>
    <w:p w:rsidR="00C839B2" w:rsidRDefault="00C839B2" w:rsidP="00AF5272">
      <w:pPr>
        <w:pStyle w:val="NoSpacing"/>
        <w:numPr>
          <w:ilvl w:val="0"/>
          <w:numId w:val="8"/>
        </w:numPr>
        <w:rPr>
          <w:sz w:val="24"/>
          <w:szCs w:val="24"/>
        </w:rPr>
      </w:pPr>
      <w:r>
        <w:rPr>
          <w:sz w:val="24"/>
          <w:szCs w:val="24"/>
        </w:rPr>
        <w:t>Remaining Dorset districts and county to form a second unitary authority</w:t>
      </w:r>
    </w:p>
    <w:p w:rsidR="00C839B2" w:rsidRDefault="00C839B2" w:rsidP="00AF5272">
      <w:pPr>
        <w:pStyle w:val="NoSpacing"/>
        <w:numPr>
          <w:ilvl w:val="0"/>
          <w:numId w:val="8"/>
        </w:numPr>
        <w:rPr>
          <w:sz w:val="24"/>
          <w:szCs w:val="24"/>
        </w:rPr>
      </w:pPr>
      <w:r>
        <w:rPr>
          <w:sz w:val="24"/>
          <w:szCs w:val="24"/>
        </w:rPr>
        <w:t>Suffolk Coastal district and Waveney district council to become a new single district council</w:t>
      </w:r>
    </w:p>
    <w:p w:rsidR="00C839B2" w:rsidRDefault="00C839B2" w:rsidP="00C839B2">
      <w:pPr>
        <w:pStyle w:val="NoSpacing"/>
        <w:rPr>
          <w:sz w:val="24"/>
          <w:szCs w:val="24"/>
        </w:rPr>
      </w:pPr>
    </w:p>
    <w:p w:rsidR="00C839B2" w:rsidRPr="00AF5272" w:rsidRDefault="00C839B2" w:rsidP="00C839B2">
      <w:pPr>
        <w:pStyle w:val="NoSpacing"/>
        <w:rPr>
          <w:sz w:val="24"/>
          <w:szCs w:val="24"/>
        </w:rPr>
      </w:pPr>
      <w:r>
        <w:rPr>
          <w:sz w:val="24"/>
          <w:szCs w:val="24"/>
        </w:rPr>
        <w:t xml:space="preserve">These are currently all being consulted on with a final decision not expected until the New Year. </w:t>
      </w:r>
    </w:p>
    <w:p w:rsidR="00E5441E" w:rsidRDefault="00E5441E">
      <w:pPr>
        <w:pStyle w:val="NoSpacing"/>
        <w:rPr>
          <w:sz w:val="24"/>
        </w:rPr>
      </w:pPr>
    </w:p>
    <w:p w:rsidR="00E5441E" w:rsidRDefault="00E5441E">
      <w:pPr>
        <w:pStyle w:val="NoSpacing"/>
        <w:rPr>
          <w:sz w:val="24"/>
        </w:rPr>
      </w:pPr>
    </w:p>
    <w:p w:rsidR="00E5441E" w:rsidRDefault="00E5441E">
      <w:pPr>
        <w:pStyle w:val="NoSpacing"/>
        <w:rPr>
          <w:sz w:val="24"/>
        </w:rPr>
      </w:pPr>
    </w:p>
    <w:p w:rsidR="00E5441E" w:rsidRDefault="00E5441E">
      <w:pPr>
        <w:spacing w:after="200" w:line="276" w:lineRule="auto"/>
        <w:rPr>
          <w:rFonts w:asciiTheme="minorHAnsi" w:eastAsiaTheme="minorHAnsi" w:hAnsiTheme="minorHAnsi" w:cstheme="minorBidi"/>
          <w:szCs w:val="22"/>
        </w:rPr>
      </w:pPr>
      <w:r>
        <w:br w:type="page"/>
      </w:r>
    </w:p>
    <w:p w:rsidR="00E5441E" w:rsidRPr="00E5441E" w:rsidRDefault="00E5441E" w:rsidP="00E5441E">
      <w:pPr>
        <w:pStyle w:val="NoSpacing"/>
        <w:jc w:val="right"/>
        <w:rPr>
          <w:b/>
          <w:sz w:val="24"/>
        </w:rPr>
      </w:pPr>
      <w:r w:rsidRPr="00AA032D">
        <w:rPr>
          <w:b/>
          <w:sz w:val="24"/>
        </w:rPr>
        <w:lastRenderedPageBreak/>
        <w:t xml:space="preserve">Annex </w:t>
      </w:r>
      <w:r w:rsidR="00AA032D" w:rsidRPr="00AA032D">
        <w:rPr>
          <w:b/>
          <w:sz w:val="24"/>
        </w:rPr>
        <w:t>A</w:t>
      </w:r>
    </w:p>
    <w:p w:rsidR="00E5441E" w:rsidRPr="00E5441E" w:rsidRDefault="00E5441E" w:rsidP="00E5441E">
      <w:pPr>
        <w:pStyle w:val="NoSpacing"/>
        <w:jc w:val="right"/>
        <w:rPr>
          <w:i/>
          <w:sz w:val="24"/>
        </w:rPr>
      </w:pPr>
      <w:r w:rsidRPr="00E5441E">
        <w:rPr>
          <w:i/>
          <w:sz w:val="24"/>
        </w:rPr>
        <w:t>2018-19 school revenue funding settlement allocations by SCT member</w:t>
      </w:r>
    </w:p>
    <w:p w:rsidR="00E5441E" w:rsidRDefault="00E5441E">
      <w:pPr>
        <w:pStyle w:val="NoSpacing"/>
        <w:rPr>
          <w:sz w:val="24"/>
        </w:rPr>
      </w:pPr>
    </w:p>
    <w:tbl>
      <w:tblPr>
        <w:tblW w:w="9371" w:type="dxa"/>
        <w:jc w:val="center"/>
        <w:tblLook w:val="04A0" w:firstRow="1" w:lastRow="0" w:firstColumn="1" w:lastColumn="0" w:noHBand="0" w:noVBand="1"/>
      </w:tblPr>
      <w:tblGrid>
        <w:gridCol w:w="2450"/>
        <w:gridCol w:w="1423"/>
        <w:gridCol w:w="1491"/>
        <w:gridCol w:w="1510"/>
        <w:gridCol w:w="1311"/>
        <w:gridCol w:w="1495"/>
      </w:tblGrid>
      <w:tr w:rsidR="00E5441E" w:rsidRPr="00E5441E" w:rsidTr="00E5441E">
        <w:trPr>
          <w:trHeight w:val="740"/>
          <w:tblHeader/>
          <w:jc w:val="center"/>
        </w:trPr>
        <w:tc>
          <w:tcPr>
            <w:tcW w:w="0" w:type="auto"/>
            <w:tcBorders>
              <w:top w:val="single" w:sz="4" w:space="0" w:color="auto"/>
              <w:left w:val="nil"/>
              <w:bottom w:val="nil"/>
              <w:right w:val="nil"/>
            </w:tcBorders>
            <w:shd w:val="clear" w:color="000000" w:fill="FFFFFF"/>
            <w:noWrap/>
            <w:vAlign w:val="center"/>
            <w:hideMark/>
          </w:tcPr>
          <w:p w:rsidR="00E5441E" w:rsidRPr="00E5441E" w:rsidRDefault="00E5441E" w:rsidP="00E5441E">
            <w:pPr>
              <w:jc w:val="center"/>
              <w:rPr>
                <w:rFonts w:ascii="Calibri" w:hAnsi="Calibri" w:cs="Arial"/>
                <w:b/>
                <w:bCs/>
                <w:color w:val="000000"/>
                <w:sz w:val="22"/>
                <w:szCs w:val="22"/>
                <w:lang w:eastAsia="en-GB"/>
              </w:rPr>
            </w:pPr>
            <w:r w:rsidRPr="00E5441E">
              <w:rPr>
                <w:rFonts w:ascii="Calibri" w:hAnsi="Calibri" w:cs="Arial"/>
                <w:b/>
                <w:bCs/>
                <w:color w:val="000000"/>
                <w:sz w:val="22"/>
                <w:szCs w:val="22"/>
                <w:lang w:eastAsia="en-GB"/>
              </w:rPr>
              <w:t>2018-19</w:t>
            </w:r>
          </w:p>
        </w:tc>
        <w:tc>
          <w:tcPr>
            <w:tcW w:w="0" w:type="auto"/>
            <w:tcBorders>
              <w:top w:val="single" w:sz="4" w:space="0" w:color="auto"/>
              <w:left w:val="nil"/>
              <w:bottom w:val="nil"/>
              <w:right w:val="nil"/>
            </w:tcBorders>
            <w:shd w:val="clear" w:color="000000" w:fill="FFFFFF"/>
            <w:vAlign w:val="center"/>
            <w:hideMark/>
          </w:tcPr>
          <w:p w:rsidR="00E5441E" w:rsidRPr="00E5441E" w:rsidRDefault="00E5441E" w:rsidP="00E5441E">
            <w:pPr>
              <w:jc w:val="center"/>
              <w:rPr>
                <w:rFonts w:ascii="Calibri" w:hAnsi="Calibri" w:cs="Arial"/>
                <w:b/>
                <w:bCs/>
                <w:sz w:val="22"/>
                <w:szCs w:val="22"/>
                <w:lang w:eastAsia="en-GB"/>
              </w:rPr>
            </w:pPr>
            <w:r w:rsidRPr="00E5441E">
              <w:rPr>
                <w:rFonts w:ascii="Calibri" w:hAnsi="Calibri" w:cs="Arial"/>
                <w:b/>
                <w:bCs/>
                <w:sz w:val="22"/>
                <w:szCs w:val="22"/>
                <w:lang w:eastAsia="en-GB"/>
              </w:rPr>
              <w:t>Schools block</w:t>
            </w:r>
          </w:p>
        </w:tc>
        <w:tc>
          <w:tcPr>
            <w:tcW w:w="0" w:type="auto"/>
            <w:tcBorders>
              <w:top w:val="single" w:sz="4" w:space="0" w:color="auto"/>
              <w:left w:val="nil"/>
              <w:bottom w:val="nil"/>
              <w:right w:val="nil"/>
            </w:tcBorders>
            <w:shd w:val="clear" w:color="000000" w:fill="FFFFFF"/>
            <w:vAlign w:val="center"/>
            <w:hideMark/>
          </w:tcPr>
          <w:p w:rsidR="00E5441E" w:rsidRPr="00E5441E" w:rsidRDefault="00E5441E" w:rsidP="00E5441E">
            <w:pPr>
              <w:jc w:val="center"/>
              <w:rPr>
                <w:rFonts w:ascii="Calibri" w:hAnsi="Calibri" w:cs="Arial"/>
                <w:b/>
                <w:bCs/>
                <w:sz w:val="22"/>
                <w:szCs w:val="22"/>
                <w:lang w:eastAsia="en-GB"/>
              </w:rPr>
            </w:pPr>
            <w:r>
              <w:rPr>
                <w:rFonts w:ascii="Calibri" w:hAnsi="Calibri" w:cs="Arial"/>
                <w:b/>
                <w:bCs/>
                <w:sz w:val="22"/>
                <w:szCs w:val="22"/>
                <w:lang w:eastAsia="en-GB"/>
              </w:rPr>
              <w:t>Central school services block</w:t>
            </w:r>
          </w:p>
        </w:tc>
        <w:tc>
          <w:tcPr>
            <w:tcW w:w="0" w:type="auto"/>
            <w:tcBorders>
              <w:top w:val="single" w:sz="4" w:space="0" w:color="auto"/>
              <w:left w:val="nil"/>
              <w:bottom w:val="nil"/>
              <w:right w:val="nil"/>
            </w:tcBorders>
            <w:shd w:val="clear" w:color="000000" w:fill="FFFFFF"/>
            <w:vAlign w:val="center"/>
            <w:hideMark/>
          </w:tcPr>
          <w:p w:rsidR="00E5441E" w:rsidRPr="00E5441E" w:rsidRDefault="00E5441E" w:rsidP="00E5441E">
            <w:pPr>
              <w:jc w:val="center"/>
              <w:rPr>
                <w:rFonts w:ascii="Calibri" w:hAnsi="Calibri" w:cs="Arial"/>
                <w:b/>
                <w:bCs/>
                <w:sz w:val="22"/>
                <w:szCs w:val="22"/>
                <w:lang w:eastAsia="en-GB"/>
              </w:rPr>
            </w:pPr>
            <w:r>
              <w:rPr>
                <w:rFonts w:ascii="Calibri" w:hAnsi="Calibri" w:cs="Arial"/>
                <w:b/>
                <w:bCs/>
                <w:sz w:val="22"/>
                <w:szCs w:val="22"/>
                <w:lang w:eastAsia="en-GB"/>
              </w:rPr>
              <w:t>High needs block</w:t>
            </w:r>
          </w:p>
        </w:tc>
        <w:tc>
          <w:tcPr>
            <w:tcW w:w="0" w:type="auto"/>
            <w:tcBorders>
              <w:top w:val="single" w:sz="4" w:space="0" w:color="auto"/>
              <w:left w:val="nil"/>
              <w:bottom w:val="nil"/>
              <w:right w:val="nil"/>
            </w:tcBorders>
            <w:shd w:val="clear" w:color="000000" w:fill="FFFFFF"/>
            <w:vAlign w:val="center"/>
            <w:hideMark/>
          </w:tcPr>
          <w:p w:rsidR="00E5441E" w:rsidRPr="00E5441E" w:rsidRDefault="00E5441E" w:rsidP="00E5441E">
            <w:pPr>
              <w:jc w:val="center"/>
              <w:rPr>
                <w:rFonts w:ascii="Calibri" w:hAnsi="Calibri" w:cs="Arial"/>
                <w:b/>
                <w:bCs/>
                <w:sz w:val="22"/>
                <w:szCs w:val="22"/>
                <w:lang w:eastAsia="en-GB"/>
              </w:rPr>
            </w:pPr>
            <w:r w:rsidRPr="00E5441E">
              <w:rPr>
                <w:rFonts w:ascii="Calibri" w:hAnsi="Calibri" w:cs="Arial"/>
                <w:b/>
                <w:bCs/>
                <w:sz w:val="22"/>
                <w:szCs w:val="22"/>
                <w:lang w:eastAsia="en-GB"/>
              </w:rPr>
              <w:t>Early years block</w:t>
            </w:r>
          </w:p>
        </w:tc>
        <w:tc>
          <w:tcPr>
            <w:tcW w:w="1495" w:type="dxa"/>
            <w:tcBorders>
              <w:top w:val="single" w:sz="4" w:space="0" w:color="auto"/>
              <w:left w:val="nil"/>
              <w:bottom w:val="nil"/>
              <w:right w:val="nil"/>
            </w:tcBorders>
            <w:shd w:val="clear" w:color="000000" w:fill="FFFFFF"/>
            <w:vAlign w:val="center"/>
            <w:hideMark/>
          </w:tcPr>
          <w:p w:rsidR="00E5441E" w:rsidRPr="00E5441E" w:rsidRDefault="00E5441E" w:rsidP="00E5441E">
            <w:pPr>
              <w:jc w:val="center"/>
              <w:rPr>
                <w:rFonts w:ascii="Calibri" w:hAnsi="Calibri" w:cs="Arial"/>
                <w:b/>
                <w:bCs/>
                <w:sz w:val="22"/>
                <w:szCs w:val="22"/>
                <w:lang w:eastAsia="en-GB"/>
              </w:rPr>
            </w:pPr>
            <w:r w:rsidRPr="00E5441E">
              <w:rPr>
                <w:rFonts w:ascii="Calibri" w:hAnsi="Calibri" w:cs="Arial"/>
                <w:b/>
                <w:bCs/>
                <w:sz w:val="22"/>
                <w:szCs w:val="22"/>
                <w:lang w:eastAsia="en-GB"/>
              </w:rPr>
              <w:t>Total DSG allocation</w:t>
            </w:r>
          </w:p>
        </w:tc>
      </w:tr>
      <w:tr w:rsidR="00E5441E" w:rsidRPr="00E5441E" w:rsidTr="00E5441E">
        <w:trPr>
          <w:trHeight w:val="224"/>
          <w:tblHeader/>
          <w:jc w:val="center"/>
        </w:trPr>
        <w:tc>
          <w:tcPr>
            <w:tcW w:w="0" w:type="auto"/>
            <w:tcBorders>
              <w:top w:val="nil"/>
              <w:left w:val="nil"/>
              <w:bottom w:val="single" w:sz="4" w:space="0" w:color="auto"/>
              <w:right w:val="nil"/>
            </w:tcBorders>
            <w:shd w:val="clear" w:color="000000" w:fill="FFFFFF"/>
            <w:noWrap/>
            <w:vAlign w:val="bottom"/>
            <w:hideMark/>
          </w:tcPr>
          <w:p w:rsidR="00E5441E" w:rsidRPr="00E5441E" w:rsidRDefault="00E5441E" w:rsidP="00E5441E">
            <w:pPr>
              <w:rPr>
                <w:rFonts w:ascii="Calibri" w:hAnsi="Calibri" w:cs="Arial"/>
                <w:b/>
                <w:bCs/>
                <w:i/>
                <w:iCs/>
                <w:color w:val="000000"/>
                <w:sz w:val="22"/>
                <w:szCs w:val="22"/>
                <w:lang w:eastAsia="en-GB"/>
              </w:rPr>
            </w:pPr>
            <w:r w:rsidRPr="00E5441E">
              <w:rPr>
                <w:rFonts w:ascii="Calibri" w:hAnsi="Calibri" w:cs="Arial"/>
                <w:b/>
                <w:bCs/>
                <w:i/>
                <w:iCs/>
                <w:color w:val="000000"/>
                <w:sz w:val="22"/>
                <w:szCs w:val="22"/>
                <w:lang w:eastAsia="en-GB"/>
              </w:rPr>
              <w:t> </w:t>
            </w:r>
          </w:p>
        </w:tc>
        <w:tc>
          <w:tcPr>
            <w:tcW w:w="0" w:type="auto"/>
            <w:tcBorders>
              <w:top w:val="nil"/>
              <w:left w:val="nil"/>
              <w:bottom w:val="single" w:sz="4" w:space="0" w:color="auto"/>
              <w:right w:val="nil"/>
            </w:tcBorders>
            <w:shd w:val="clear" w:color="000000" w:fill="FFFFFF"/>
            <w:vAlign w:val="center"/>
            <w:hideMark/>
          </w:tcPr>
          <w:p w:rsidR="00E5441E" w:rsidRPr="00E5441E" w:rsidRDefault="00E5441E" w:rsidP="00E5441E">
            <w:pPr>
              <w:jc w:val="center"/>
              <w:rPr>
                <w:rFonts w:ascii="Calibri" w:hAnsi="Calibri" w:cs="Arial"/>
                <w:b/>
                <w:bCs/>
                <w:i/>
                <w:iCs/>
                <w:sz w:val="22"/>
                <w:szCs w:val="22"/>
                <w:lang w:eastAsia="en-GB"/>
              </w:rPr>
            </w:pPr>
            <w:r w:rsidRPr="00E5441E">
              <w:rPr>
                <w:rFonts w:ascii="Calibri" w:hAnsi="Calibri" w:cs="Arial"/>
                <w:b/>
                <w:bCs/>
                <w:i/>
                <w:iCs/>
                <w:sz w:val="22"/>
                <w:szCs w:val="22"/>
                <w:lang w:eastAsia="en-GB"/>
              </w:rPr>
              <w:t>£m</w:t>
            </w:r>
          </w:p>
        </w:tc>
        <w:tc>
          <w:tcPr>
            <w:tcW w:w="0" w:type="auto"/>
            <w:tcBorders>
              <w:top w:val="nil"/>
              <w:left w:val="nil"/>
              <w:bottom w:val="single" w:sz="4" w:space="0" w:color="auto"/>
              <w:right w:val="nil"/>
            </w:tcBorders>
            <w:shd w:val="clear" w:color="000000" w:fill="FFFFFF"/>
            <w:vAlign w:val="center"/>
            <w:hideMark/>
          </w:tcPr>
          <w:p w:rsidR="00E5441E" w:rsidRPr="00E5441E" w:rsidRDefault="00E5441E" w:rsidP="00E5441E">
            <w:pPr>
              <w:jc w:val="center"/>
              <w:rPr>
                <w:rFonts w:ascii="Calibri" w:hAnsi="Calibri" w:cs="Arial"/>
                <w:b/>
                <w:bCs/>
                <w:i/>
                <w:iCs/>
                <w:sz w:val="22"/>
                <w:szCs w:val="22"/>
                <w:lang w:eastAsia="en-GB"/>
              </w:rPr>
            </w:pPr>
            <w:r w:rsidRPr="00E5441E">
              <w:rPr>
                <w:rFonts w:ascii="Calibri" w:hAnsi="Calibri" w:cs="Arial"/>
                <w:b/>
                <w:bCs/>
                <w:i/>
                <w:iCs/>
                <w:sz w:val="22"/>
                <w:szCs w:val="22"/>
                <w:lang w:eastAsia="en-GB"/>
              </w:rPr>
              <w:t>£m</w:t>
            </w:r>
          </w:p>
        </w:tc>
        <w:tc>
          <w:tcPr>
            <w:tcW w:w="0" w:type="auto"/>
            <w:tcBorders>
              <w:top w:val="nil"/>
              <w:left w:val="nil"/>
              <w:bottom w:val="single" w:sz="4" w:space="0" w:color="auto"/>
              <w:right w:val="nil"/>
            </w:tcBorders>
            <w:shd w:val="clear" w:color="000000" w:fill="FFFFFF"/>
            <w:vAlign w:val="center"/>
            <w:hideMark/>
          </w:tcPr>
          <w:p w:rsidR="00E5441E" w:rsidRPr="00E5441E" w:rsidRDefault="00E5441E" w:rsidP="00E5441E">
            <w:pPr>
              <w:jc w:val="center"/>
              <w:rPr>
                <w:rFonts w:ascii="Calibri" w:hAnsi="Calibri" w:cs="Arial"/>
                <w:b/>
                <w:bCs/>
                <w:i/>
                <w:iCs/>
                <w:sz w:val="22"/>
                <w:szCs w:val="22"/>
                <w:lang w:eastAsia="en-GB"/>
              </w:rPr>
            </w:pPr>
            <w:r w:rsidRPr="00E5441E">
              <w:rPr>
                <w:rFonts w:ascii="Calibri" w:hAnsi="Calibri" w:cs="Arial"/>
                <w:b/>
                <w:bCs/>
                <w:i/>
                <w:iCs/>
                <w:sz w:val="22"/>
                <w:szCs w:val="22"/>
                <w:lang w:eastAsia="en-GB"/>
              </w:rPr>
              <w:t>£m</w:t>
            </w:r>
          </w:p>
        </w:tc>
        <w:tc>
          <w:tcPr>
            <w:tcW w:w="0" w:type="auto"/>
            <w:tcBorders>
              <w:top w:val="nil"/>
              <w:left w:val="nil"/>
              <w:bottom w:val="single" w:sz="4" w:space="0" w:color="auto"/>
              <w:right w:val="nil"/>
            </w:tcBorders>
            <w:shd w:val="clear" w:color="000000" w:fill="FFFFFF"/>
            <w:vAlign w:val="center"/>
            <w:hideMark/>
          </w:tcPr>
          <w:p w:rsidR="00E5441E" w:rsidRPr="00E5441E" w:rsidRDefault="00E5441E" w:rsidP="00E5441E">
            <w:pPr>
              <w:jc w:val="center"/>
              <w:rPr>
                <w:rFonts w:ascii="Calibri" w:hAnsi="Calibri" w:cs="Arial"/>
                <w:b/>
                <w:bCs/>
                <w:i/>
                <w:iCs/>
                <w:sz w:val="22"/>
                <w:szCs w:val="22"/>
                <w:lang w:eastAsia="en-GB"/>
              </w:rPr>
            </w:pPr>
            <w:r w:rsidRPr="00E5441E">
              <w:rPr>
                <w:rFonts w:ascii="Calibri" w:hAnsi="Calibri" w:cs="Arial"/>
                <w:b/>
                <w:bCs/>
                <w:i/>
                <w:iCs/>
                <w:sz w:val="22"/>
                <w:szCs w:val="22"/>
                <w:lang w:eastAsia="en-GB"/>
              </w:rPr>
              <w:t>£m</w:t>
            </w:r>
          </w:p>
        </w:tc>
        <w:tc>
          <w:tcPr>
            <w:tcW w:w="1495" w:type="dxa"/>
            <w:tcBorders>
              <w:top w:val="nil"/>
              <w:left w:val="nil"/>
              <w:bottom w:val="single" w:sz="4" w:space="0" w:color="auto"/>
              <w:right w:val="nil"/>
            </w:tcBorders>
            <w:shd w:val="clear" w:color="000000" w:fill="FFFFFF"/>
            <w:vAlign w:val="center"/>
            <w:hideMark/>
          </w:tcPr>
          <w:p w:rsidR="00E5441E" w:rsidRPr="00E5441E" w:rsidRDefault="00E5441E" w:rsidP="00E5441E">
            <w:pPr>
              <w:jc w:val="center"/>
              <w:rPr>
                <w:rFonts w:ascii="Calibri" w:hAnsi="Calibri" w:cs="Arial"/>
                <w:b/>
                <w:bCs/>
                <w:i/>
                <w:iCs/>
                <w:sz w:val="22"/>
                <w:szCs w:val="22"/>
                <w:lang w:eastAsia="en-GB"/>
              </w:rPr>
            </w:pPr>
            <w:r w:rsidRPr="00E5441E">
              <w:rPr>
                <w:rFonts w:ascii="Calibri" w:hAnsi="Calibri" w:cs="Arial"/>
                <w:b/>
                <w:bCs/>
                <w:i/>
                <w:iCs/>
                <w:sz w:val="22"/>
                <w:szCs w:val="22"/>
                <w:lang w:eastAsia="en-GB"/>
              </w:rPr>
              <w:t>£m</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b/>
                <w:color w:val="000000"/>
                <w:sz w:val="22"/>
                <w:szCs w:val="22"/>
                <w:lang w:eastAsia="en-GB"/>
              </w:rPr>
            </w:pPr>
            <w:r w:rsidRPr="00E5441E">
              <w:rPr>
                <w:rFonts w:ascii="Calibri" w:hAnsi="Calibri" w:cs="Arial"/>
                <w:b/>
                <w:color w:val="000000"/>
                <w:sz w:val="22"/>
                <w:szCs w:val="22"/>
                <w:lang w:eastAsia="en-GB"/>
              </w:rPr>
              <w:t>England</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b/>
                <w:color w:val="000000"/>
                <w:sz w:val="22"/>
                <w:szCs w:val="22"/>
                <w:lang w:eastAsia="en-GB"/>
              </w:rPr>
            </w:pPr>
            <w:r w:rsidRPr="00E5441E">
              <w:rPr>
                <w:rFonts w:ascii="Calibri" w:hAnsi="Calibri" w:cs="Arial"/>
                <w:b/>
                <w:color w:val="000000"/>
                <w:sz w:val="22"/>
                <w:szCs w:val="22"/>
                <w:lang w:eastAsia="en-GB"/>
              </w:rPr>
              <w:t xml:space="preserve">    33,681.947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b/>
                <w:color w:val="000000"/>
                <w:sz w:val="22"/>
                <w:szCs w:val="22"/>
                <w:lang w:eastAsia="en-GB"/>
              </w:rPr>
            </w:pPr>
            <w:r w:rsidRPr="00E5441E">
              <w:rPr>
                <w:rFonts w:ascii="Calibri" w:hAnsi="Calibri" w:cs="Arial"/>
                <w:b/>
                <w:color w:val="000000"/>
                <w:sz w:val="22"/>
                <w:szCs w:val="22"/>
                <w:lang w:eastAsia="en-GB"/>
              </w:rPr>
              <w:t xml:space="preserve">           468.718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b/>
                <w:color w:val="000000"/>
                <w:sz w:val="22"/>
                <w:szCs w:val="22"/>
                <w:lang w:eastAsia="en-GB"/>
              </w:rPr>
            </w:pPr>
            <w:r w:rsidRPr="00E5441E">
              <w:rPr>
                <w:rFonts w:ascii="Calibri" w:hAnsi="Calibri" w:cs="Arial"/>
                <w:b/>
                <w:color w:val="000000"/>
                <w:sz w:val="22"/>
                <w:szCs w:val="22"/>
                <w:lang w:eastAsia="en-GB"/>
              </w:rPr>
              <w:t xml:space="preserve">        5,298.804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b/>
                <w:color w:val="000000"/>
                <w:sz w:val="22"/>
                <w:szCs w:val="22"/>
                <w:lang w:eastAsia="en-GB"/>
              </w:rPr>
            </w:pPr>
            <w:r w:rsidRPr="00E5441E">
              <w:rPr>
                <w:rFonts w:ascii="Calibri" w:hAnsi="Calibri" w:cs="Arial"/>
                <w:b/>
                <w:color w:val="000000"/>
                <w:sz w:val="22"/>
                <w:szCs w:val="22"/>
                <w:lang w:eastAsia="en-GB"/>
              </w:rPr>
              <w:t xml:space="preserve">    3,603.834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b/>
                <w:color w:val="000000"/>
                <w:sz w:val="22"/>
                <w:szCs w:val="22"/>
                <w:lang w:eastAsia="en-GB"/>
              </w:rPr>
            </w:pPr>
            <w:r w:rsidRPr="00E5441E">
              <w:rPr>
                <w:rFonts w:ascii="Calibri" w:hAnsi="Calibri" w:cs="Arial"/>
                <w:b/>
                <w:color w:val="000000"/>
                <w:sz w:val="22"/>
                <w:szCs w:val="22"/>
                <w:lang w:eastAsia="en-GB"/>
              </w:rPr>
              <w:t xml:space="preserve">  43,053.303 </w:t>
            </w:r>
          </w:p>
        </w:tc>
      </w:tr>
      <w:tr w:rsidR="00E5441E" w:rsidRPr="00E5441E" w:rsidTr="00E5441E">
        <w:trPr>
          <w:trHeight w:val="312"/>
          <w:jc w:val="center"/>
        </w:trPr>
        <w:tc>
          <w:tcPr>
            <w:tcW w:w="0" w:type="auto"/>
            <w:tcBorders>
              <w:top w:val="nil"/>
              <w:left w:val="nil"/>
              <w:bottom w:val="single" w:sz="4" w:space="0" w:color="auto"/>
              <w:right w:val="nil"/>
            </w:tcBorders>
            <w:shd w:val="clear" w:color="000000" w:fill="FFFFFF"/>
            <w:noWrap/>
            <w:vAlign w:val="bottom"/>
            <w:hideMark/>
          </w:tcPr>
          <w:p w:rsidR="00E5441E" w:rsidRPr="00E5441E" w:rsidRDefault="00E5441E" w:rsidP="00E5441E">
            <w:pPr>
              <w:rPr>
                <w:rFonts w:ascii="Calibri" w:hAnsi="Calibri" w:cs="Arial"/>
                <w:b/>
                <w:color w:val="000000"/>
                <w:sz w:val="22"/>
                <w:szCs w:val="22"/>
                <w:lang w:eastAsia="en-GB"/>
              </w:rPr>
            </w:pPr>
            <w:r w:rsidRPr="00E5441E">
              <w:rPr>
                <w:rFonts w:ascii="Calibri" w:hAnsi="Calibri" w:cs="Arial"/>
                <w:b/>
                <w:color w:val="000000"/>
                <w:sz w:val="22"/>
                <w:szCs w:val="22"/>
                <w:lang w:eastAsia="en-GB"/>
              </w:rPr>
              <w:t>SCT Members</w:t>
            </w:r>
          </w:p>
        </w:tc>
        <w:tc>
          <w:tcPr>
            <w:tcW w:w="0" w:type="auto"/>
            <w:tcBorders>
              <w:top w:val="nil"/>
              <w:left w:val="nil"/>
              <w:bottom w:val="single" w:sz="4" w:space="0" w:color="auto"/>
              <w:right w:val="nil"/>
            </w:tcBorders>
            <w:shd w:val="clear" w:color="000000" w:fill="FFFFFF"/>
            <w:noWrap/>
            <w:vAlign w:val="bottom"/>
            <w:hideMark/>
          </w:tcPr>
          <w:p w:rsidR="00E5441E" w:rsidRPr="00E5441E" w:rsidRDefault="00E5441E" w:rsidP="00E5441E">
            <w:pPr>
              <w:rPr>
                <w:rFonts w:ascii="Calibri" w:hAnsi="Calibri" w:cs="Arial"/>
                <w:b/>
                <w:color w:val="000000"/>
                <w:sz w:val="22"/>
                <w:szCs w:val="22"/>
                <w:lang w:eastAsia="en-GB"/>
              </w:rPr>
            </w:pPr>
            <w:r w:rsidRPr="00E5441E">
              <w:rPr>
                <w:rFonts w:ascii="Calibri" w:hAnsi="Calibri" w:cs="Arial"/>
                <w:b/>
                <w:color w:val="000000"/>
                <w:sz w:val="22"/>
                <w:szCs w:val="22"/>
                <w:lang w:eastAsia="en-GB"/>
              </w:rPr>
              <w:t xml:space="preserve">    14,184.618 </w:t>
            </w:r>
          </w:p>
        </w:tc>
        <w:tc>
          <w:tcPr>
            <w:tcW w:w="0" w:type="auto"/>
            <w:tcBorders>
              <w:top w:val="nil"/>
              <w:left w:val="nil"/>
              <w:bottom w:val="single" w:sz="4" w:space="0" w:color="auto"/>
              <w:right w:val="nil"/>
            </w:tcBorders>
            <w:shd w:val="clear" w:color="000000" w:fill="FFFFFF"/>
            <w:noWrap/>
            <w:vAlign w:val="bottom"/>
            <w:hideMark/>
          </w:tcPr>
          <w:p w:rsidR="00E5441E" w:rsidRPr="00E5441E" w:rsidRDefault="00E5441E" w:rsidP="00E5441E">
            <w:pPr>
              <w:rPr>
                <w:rFonts w:ascii="Calibri" w:hAnsi="Calibri" w:cs="Arial"/>
                <w:b/>
                <w:color w:val="000000"/>
                <w:sz w:val="22"/>
                <w:szCs w:val="22"/>
                <w:lang w:eastAsia="en-GB"/>
              </w:rPr>
            </w:pPr>
            <w:r w:rsidRPr="00E5441E">
              <w:rPr>
                <w:rFonts w:ascii="Calibri" w:hAnsi="Calibri" w:cs="Arial"/>
                <w:b/>
                <w:color w:val="000000"/>
                <w:sz w:val="22"/>
                <w:szCs w:val="22"/>
                <w:lang w:eastAsia="en-GB"/>
              </w:rPr>
              <w:t xml:space="preserve">           199.839 </w:t>
            </w:r>
          </w:p>
        </w:tc>
        <w:tc>
          <w:tcPr>
            <w:tcW w:w="0" w:type="auto"/>
            <w:tcBorders>
              <w:top w:val="nil"/>
              <w:left w:val="nil"/>
              <w:bottom w:val="single" w:sz="4" w:space="0" w:color="auto"/>
              <w:right w:val="nil"/>
            </w:tcBorders>
            <w:shd w:val="clear" w:color="000000" w:fill="FFFFFF"/>
            <w:noWrap/>
            <w:vAlign w:val="bottom"/>
            <w:hideMark/>
          </w:tcPr>
          <w:p w:rsidR="00E5441E" w:rsidRPr="00E5441E" w:rsidRDefault="00E5441E" w:rsidP="00E5441E">
            <w:pPr>
              <w:rPr>
                <w:rFonts w:ascii="Calibri" w:hAnsi="Calibri" w:cs="Arial"/>
                <w:b/>
                <w:color w:val="000000"/>
                <w:sz w:val="22"/>
                <w:szCs w:val="22"/>
                <w:lang w:eastAsia="en-GB"/>
              </w:rPr>
            </w:pPr>
            <w:r w:rsidRPr="00E5441E">
              <w:rPr>
                <w:rFonts w:ascii="Calibri" w:hAnsi="Calibri" w:cs="Arial"/>
                <w:b/>
                <w:color w:val="000000"/>
                <w:sz w:val="22"/>
                <w:szCs w:val="22"/>
                <w:lang w:eastAsia="en-GB"/>
              </w:rPr>
              <w:t xml:space="preserve">        2,141.252 </w:t>
            </w:r>
          </w:p>
        </w:tc>
        <w:tc>
          <w:tcPr>
            <w:tcW w:w="0" w:type="auto"/>
            <w:tcBorders>
              <w:top w:val="nil"/>
              <w:left w:val="nil"/>
              <w:bottom w:val="single" w:sz="4" w:space="0" w:color="auto"/>
              <w:right w:val="nil"/>
            </w:tcBorders>
            <w:shd w:val="clear" w:color="000000" w:fill="FFFFFF"/>
            <w:noWrap/>
            <w:vAlign w:val="bottom"/>
            <w:hideMark/>
          </w:tcPr>
          <w:p w:rsidR="00E5441E" w:rsidRPr="00E5441E" w:rsidRDefault="00E5441E" w:rsidP="00E5441E">
            <w:pPr>
              <w:rPr>
                <w:rFonts w:ascii="Calibri" w:hAnsi="Calibri" w:cs="Arial"/>
                <w:b/>
                <w:color w:val="000000"/>
                <w:sz w:val="22"/>
                <w:szCs w:val="22"/>
                <w:lang w:eastAsia="en-GB"/>
              </w:rPr>
            </w:pPr>
            <w:r w:rsidRPr="00E5441E">
              <w:rPr>
                <w:rFonts w:ascii="Calibri" w:hAnsi="Calibri" w:cs="Arial"/>
                <w:b/>
                <w:color w:val="000000"/>
                <w:sz w:val="22"/>
                <w:szCs w:val="22"/>
                <w:lang w:eastAsia="en-GB"/>
              </w:rPr>
              <w:t xml:space="preserve">    1,458.227 </w:t>
            </w:r>
          </w:p>
        </w:tc>
        <w:tc>
          <w:tcPr>
            <w:tcW w:w="1495" w:type="dxa"/>
            <w:tcBorders>
              <w:top w:val="nil"/>
              <w:left w:val="nil"/>
              <w:bottom w:val="single" w:sz="4" w:space="0" w:color="auto"/>
              <w:right w:val="nil"/>
            </w:tcBorders>
            <w:shd w:val="clear" w:color="000000" w:fill="FFFFFF"/>
            <w:noWrap/>
            <w:vAlign w:val="bottom"/>
            <w:hideMark/>
          </w:tcPr>
          <w:p w:rsidR="00E5441E" w:rsidRPr="00E5441E" w:rsidRDefault="00E5441E" w:rsidP="00E5441E">
            <w:pPr>
              <w:rPr>
                <w:rFonts w:ascii="Calibri" w:hAnsi="Calibri" w:cs="Arial"/>
                <w:b/>
                <w:color w:val="000000"/>
                <w:sz w:val="22"/>
                <w:szCs w:val="22"/>
                <w:lang w:eastAsia="en-GB"/>
              </w:rPr>
            </w:pPr>
            <w:r w:rsidRPr="00E5441E">
              <w:rPr>
                <w:rFonts w:ascii="Calibri" w:hAnsi="Calibri" w:cs="Arial"/>
                <w:b/>
                <w:color w:val="000000"/>
                <w:sz w:val="22"/>
                <w:szCs w:val="22"/>
                <w:lang w:eastAsia="en-GB"/>
              </w:rPr>
              <w:t xml:space="preserve">  17,983.934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Bedford</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113.043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3.460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16.498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11.749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144.750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Buckinghamshire</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309.656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7.467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73.940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32.510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423.575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Cambridgeshire</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341.468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8.034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56.114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38.052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443.668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Central Bedfordshire</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167.133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1.236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22.582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16.174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207.124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Cheshire East</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207.684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2.936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30.251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21.101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261.971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Cheshire West &amp; Chester</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198.943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3.041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34.853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19.048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255.885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Cornwall</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301.337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4.169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29.198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29.036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363.739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Cumbria</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280.117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4.952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38.661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26.982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350.712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Derbyshire</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428.500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4.516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65.816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43.951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542.784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Devon</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394.118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3.563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61.275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40.169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499.125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Dorset</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216.427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2.188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36.107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19.708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274.431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East Riding of Yorkshire</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180.165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2.117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21.486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17.726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221.495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East Sussex</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273.177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8.121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39.523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27.542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348.364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Essex</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837.923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12.280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113.661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82.788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1,046.651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Gloucestershire</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348.425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2.568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53.963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33.186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438.143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Hampshire</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732.205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8.116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99.326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79.010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918.656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Herefordshire</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99.341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0.685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12.373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9.430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121.829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Hertfordshire</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739.309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5.753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98.366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87.983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931.411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Isle of Wight</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69.466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0.630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13.185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6.702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89.983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Kent</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881.665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13.761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183.145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88.448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1,167.018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Lancashire</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727.855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6.435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100.953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74.156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909.399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Leicestershire</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380.144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3.284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56.934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34.597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474.960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Lincolnshire</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410.366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5.737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65.007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40.576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521.687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Norfolk</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473.043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3.272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69.601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44.566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590.482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North Yorkshire</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332.511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4.302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44.882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30.479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412.173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Northamptonshire</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455.133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10.985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54.143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48.574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568.835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Northumberland</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179.925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3.163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29.109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16.561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228.757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Nottinghamshire</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469.118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6.654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57.237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46.899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579.907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Oxfordshire</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365.797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4.041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51.166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39.655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460.658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Shropshire</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157.872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3.160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20.217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15.001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196.251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Somerset</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282.867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8.289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46.127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28.768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366.050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Staffordshire</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471.754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6.465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60.541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47.848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586.608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Suffolk</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400.214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8.773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50.122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39.798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498.907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Surrey</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612.723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6.309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129.169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77.091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825.292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Warwickshire</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316.445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4.424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53.979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33.627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408.475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West Sussex</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445.645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8.672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72.712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49.982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577.011 </w:t>
            </w:r>
          </w:p>
        </w:tc>
      </w:tr>
      <w:tr w:rsidR="00E5441E" w:rsidRPr="00E5441E" w:rsidTr="00E5441E">
        <w:trPr>
          <w:trHeight w:val="312"/>
          <w:jc w:val="center"/>
        </w:trPr>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lastRenderedPageBreak/>
              <w:t>Wiltshire</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267.858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2.515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38.335 </w:t>
            </w:r>
          </w:p>
        </w:tc>
        <w:tc>
          <w:tcPr>
            <w:tcW w:w="0" w:type="auto"/>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27.047 </w:t>
            </w:r>
          </w:p>
        </w:tc>
        <w:tc>
          <w:tcPr>
            <w:tcW w:w="1495" w:type="dxa"/>
            <w:tcBorders>
              <w:top w:val="nil"/>
              <w:left w:val="nil"/>
              <w:bottom w:val="nil"/>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335.754 </w:t>
            </w:r>
          </w:p>
        </w:tc>
      </w:tr>
      <w:tr w:rsidR="00E5441E" w:rsidRPr="00E5441E" w:rsidTr="00E5441E">
        <w:trPr>
          <w:trHeight w:val="312"/>
          <w:jc w:val="center"/>
        </w:trPr>
        <w:tc>
          <w:tcPr>
            <w:tcW w:w="0" w:type="auto"/>
            <w:tcBorders>
              <w:top w:val="nil"/>
              <w:left w:val="nil"/>
              <w:bottom w:val="single" w:sz="4" w:space="0" w:color="auto"/>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Worcestershire</w:t>
            </w:r>
          </w:p>
        </w:tc>
        <w:tc>
          <w:tcPr>
            <w:tcW w:w="0" w:type="auto"/>
            <w:tcBorders>
              <w:top w:val="nil"/>
              <w:left w:val="nil"/>
              <w:bottom w:val="single" w:sz="4" w:space="0" w:color="auto"/>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315.247 </w:t>
            </w:r>
          </w:p>
        </w:tc>
        <w:tc>
          <w:tcPr>
            <w:tcW w:w="0" w:type="auto"/>
            <w:tcBorders>
              <w:top w:val="nil"/>
              <w:left w:val="nil"/>
              <w:bottom w:val="single" w:sz="4" w:space="0" w:color="auto"/>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3.766 </w:t>
            </w:r>
          </w:p>
        </w:tc>
        <w:tc>
          <w:tcPr>
            <w:tcW w:w="0" w:type="auto"/>
            <w:tcBorders>
              <w:top w:val="nil"/>
              <w:left w:val="nil"/>
              <w:bottom w:val="single" w:sz="4" w:space="0" w:color="auto"/>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40.694 </w:t>
            </w:r>
          </w:p>
        </w:tc>
        <w:tc>
          <w:tcPr>
            <w:tcW w:w="0" w:type="auto"/>
            <w:tcBorders>
              <w:top w:val="nil"/>
              <w:left w:val="nil"/>
              <w:bottom w:val="single" w:sz="4" w:space="0" w:color="auto"/>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31.707 </w:t>
            </w:r>
          </w:p>
        </w:tc>
        <w:tc>
          <w:tcPr>
            <w:tcW w:w="1495" w:type="dxa"/>
            <w:tcBorders>
              <w:top w:val="nil"/>
              <w:left w:val="nil"/>
              <w:bottom w:val="single" w:sz="4" w:space="0" w:color="auto"/>
              <w:right w:val="nil"/>
            </w:tcBorders>
            <w:shd w:val="clear" w:color="000000" w:fill="FFFFFF"/>
            <w:noWrap/>
            <w:vAlign w:val="bottom"/>
            <w:hideMark/>
          </w:tcPr>
          <w:p w:rsidR="00E5441E" w:rsidRPr="00E5441E" w:rsidRDefault="00E5441E" w:rsidP="00E5441E">
            <w:pPr>
              <w:rPr>
                <w:rFonts w:ascii="Calibri" w:hAnsi="Calibri" w:cs="Arial"/>
                <w:color w:val="000000"/>
                <w:sz w:val="22"/>
                <w:szCs w:val="22"/>
                <w:lang w:eastAsia="en-GB"/>
              </w:rPr>
            </w:pPr>
            <w:r w:rsidRPr="00E5441E">
              <w:rPr>
                <w:rFonts w:ascii="Calibri" w:hAnsi="Calibri" w:cs="Arial"/>
                <w:color w:val="000000"/>
                <w:sz w:val="22"/>
                <w:szCs w:val="22"/>
                <w:lang w:eastAsia="en-GB"/>
              </w:rPr>
              <w:t xml:space="preserve">       391.414 </w:t>
            </w:r>
          </w:p>
        </w:tc>
      </w:tr>
    </w:tbl>
    <w:p w:rsidR="00E5441E" w:rsidRPr="00E01695" w:rsidRDefault="00E5441E">
      <w:pPr>
        <w:pStyle w:val="NoSpacing"/>
        <w:rPr>
          <w:sz w:val="24"/>
        </w:rPr>
      </w:pPr>
    </w:p>
    <w:sectPr w:rsidR="00E5441E" w:rsidRPr="00E0169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97A" w:rsidRDefault="007C697A" w:rsidP="00176086">
      <w:r>
        <w:separator/>
      </w:r>
    </w:p>
  </w:endnote>
  <w:endnote w:type="continuationSeparator" w:id="0">
    <w:p w:rsidR="007C697A" w:rsidRDefault="007C697A" w:rsidP="0017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97A" w:rsidRPr="006C09A1" w:rsidRDefault="007C697A" w:rsidP="006C09A1">
    <w:pPr>
      <w:pStyle w:val="Footer"/>
      <w:rPr>
        <w:rFonts w:asciiTheme="minorHAnsi" w:hAnsiTheme="minorHAnsi"/>
      </w:rPr>
    </w:pPr>
    <w:r w:rsidRPr="006C09A1">
      <w:rPr>
        <w:rFonts w:asciiTheme="minorHAnsi" w:hAnsiTheme="minorHAnsi"/>
        <w:b/>
      </w:rPr>
      <w:t>Technical Support Team</w:t>
    </w:r>
    <w:r w:rsidRPr="006C09A1">
      <w:rPr>
        <w:rFonts w:asciiTheme="minorHAnsi" w:hAnsiTheme="minorHAnsi"/>
        <w:b/>
      </w:rPr>
      <w:tab/>
    </w:r>
    <w:r w:rsidRPr="006C09A1">
      <w:rPr>
        <w:rFonts w:asciiTheme="minorHAnsi" w:hAnsiTheme="minorHAnsi"/>
        <w:b/>
      </w:rPr>
      <w:tab/>
    </w:r>
    <w:r w:rsidRPr="006C09A1">
      <w:rPr>
        <w:rFonts w:asciiTheme="minorHAnsi" w:hAnsiTheme="minorHAnsi"/>
        <w:b/>
      </w:rPr>
      <w:tab/>
      <w:t xml:space="preserve">    </w:t>
    </w:r>
    <w:r w:rsidRPr="006C09A1">
      <w:rPr>
        <w:rFonts w:asciiTheme="minorHAnsi" w:hAnsiTheme="minorHAnsi"/>
      </w:rPr>
      <w:fldChar w:fldCharType="begin"/>
    </w:r>
    <w:r w:rsidRPr="006C09A1">
      <w:rPr>
        <w:rFonts w:asciiTheme="minorHAnsi" w:hAnsiTheme="minorHAnsi"/>
      </w:rPr>
      <w:instrText xml:space="preserve"> PAGE   \* MERGEFORMAT </w:instrText>
    </w:r>
    <w:r w:rsidRPr="006C09A1">
      <w:rPr>
        <w:rFonts w:asciiTheme="minorHAnsi" w:hAnsiTheme="minorHAnsi"/>
      </w:rPr>
      <w:fldChar w:fldCharType="separate"/>
    </w:r>
    <w:r w:rsidR="00C76702">
      <w:rPr>
        <w:rFonts w:asciiTheme="minorHAnsi" w:hAnsiTheme="minorHAnsi"/>
        <w:noProof/>
      </w:rPr>
      <w:t>1</w:t>
    </w:r>
    <w:r w:rsidRPr="006C09A1">
      <w:rPr>
        <w:rFonts w:asciiTheme="minorHAnsi" w:hAnsiTheme="minorHAnsi"/>
      </w:rPr>
      <w:fldChar w:fldCharType="end"/>
    </w:r>
  </w:p>
  <w:p w:rsidR="007C697A" w:rsidRPr="006C09A1" w:rsidRDefault="007C697A" w:rsidP="006C09A1">
    <w:pPr>
      <w:pStyle w:val="Footer"/>
      <w:rPr>
        <w:rFonts w:asciiTheme="minorHAnsi" w:hAnsiTheme="minorHAnsi"/>
      </w:rPr>
    </w:pPr>
    <w:r w:rsidRPr="006C09A1">
      <w:rPr>
        <w:rFonts w:asciiTheme="minorHAnsi" w:hAnsiTheme="minorHAnsi"/>
      </w:rPr>
      <w:t>Society of County Treasurers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97A" w:rsidRDefault="007C697A" w:rsidP="00176086">
      <w:r>
        <w:separator/>
      </w:r>
    </w:p>
  </w:footnote>
  <w:footnote w:type="continuationSeparator" w:id="0">
    <w:p w:rsidR="007C697A" w:rsidRDefault="007C697A" w:rsidP="00176086">
      <w:r>
        <w:continuationSeparator/>
      </w:r>
    </w:p>
  </w:footnote>
  <w:footnote w:id="1">
    <w:p w:rsidR="007C697A" w:rsidRDefault="007C697A" w:rsidP="00E5441E">
      <w:pPr>
        <w:pStyle w:val="FootnoteText"/>
        <w:rPr>
          <w:rFonts w:ascii="Calibri" w:hAnsi="Calibri"/>
        </w:rPr>
      </w:pPr>
      <w:r>
        <w:rPr>
          <w:rStyle w:val="FootnoteReference"/>
          <w:rFonts w:ascii="Calibri" w:hAnsi="Calibri"/>
        </w:rPr>
        <w:t>[1]</w:t>
      </w:r>
      <w:r>
        <w:rPr>
          <w:rFonts w:ascii="Calibri" w:hAnsi="Calibri"/>
        </w:rPr>
        <w:t xml:space="preserve"> Greater Manchester CA, Liverpool City Region, West Midlands, West of England CA, Cornwall and GLA</w:t>
      </w:r>
    </w:p>
  </w:footnote>
  <w:footnote w:id="2">
    <w:p w:rsidR="007C697A" w:rsidRPr="001D077F" w:rsidRDefault="007C697A" w:rsidP="006D0527">
      <w:pPr>
        <w:pStyle w:val="FootnoteText"/>
        <w:rPr>
          <w:rFonts w:asciiTheme="minorHAnsi" w:hAnsiTheme="minorHAnsi"/>
        </w:rPr>
      </w:pPr>
      <w:r w:rsidRPr="001D077F">
        <w:rPr>
          <w:rStyle w:val="FootnoteReference"/>
          <w:rFonts w:asciiTheme="minorHAnsi" w:hAnsiTheme="minorHAnsi"/>
        </w:rPr>
        <w:footnoteRef/>
      </w:r>
      <w:r w:rsidRPr="001D077F">
        <w:rPr>
          <w:rFonts w:asciiTheme="minorHAnsi" w:hAnsiTheme="minorHAnsi"/>
        </w:rPr>
        <w:t xml:space="preserve"> Looked </w:t>
      </w:r>
      <w:proofErr w:type="gramStart"/>
      <w:r w:rsidRPr="001D077F">
        <w:rPr>
          <w:rFonts w:asciiTheme="minorHAnsi" w:hAnsiTheme="minorHAnsi"/>
        </w:rPr>
        <w:t>After</w:t>
      </w:r>
      <w:proofErr w:type="gramEnd"/>
      <w:r w:rsidRPr="001D077F">
        <w:rPr>
          <w:rFonts w:asciiTheme="minorHAnsi" w:hAnsiTheme="minorHAnsi"/>
        </w:rPr>
        <w:t xml:space="preserve"> Children (LAC) and those adopted from care or who leave care under a Special Guardianship Order or Child Arrangements Order (formally known as a residence order).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B3593"/>
    <w:multiLevelType w:val="hybridMultilevel"/>
    <w:tmpl w:val="EA58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1642B"/>
    <w:multiLevelType w:val="hybridMultilevel"/>
    <w:tmpl w:val="16AAE758"/>
    <w:lvl w:ilvl="0" w:tplc="B032F3D4">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16DDA"/>
    <w:multiLevelType w:val="hybridMultilevel"/>
    <w:tmpl w:val="4A24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44CB3"/>
    <w:multiLevelType w:val="hybridMultilevel"/>
    <w:tmpl w:val="4D5A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A01C6"/>
    <w:multiLevelType w:val="hybridMultilevel"/>
    <w:tmpl w:val="79E6F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99132D"/>
    <w:multiLevelType w:val="hybridMultilevel"/>
    <w:tmpl w:val="5804028C"/>
    <w:lvl w:ilvl="0" w:tplc="0809000F">
      <w:start w:val="1"/>
      <w:numFmt w:val="decimal"/>
      <w:lvlText w:val="%1."/>
      <w:lvlJc w:val="left"/>
      <w:pPr>
        <w:tabs>
          <w:tab w:val="num" w:pos="360"/>
        </w:tabs>
        <w:ind w:left="360" w:hanging="360"/>
      </w:pPr>
      <w:rPr>
        <w:rFonts w:hint="default"/>
        <w:b w:val="0"/>
        <w:i w:val="0"/>
        <w:sz w:val="22"/>
        <w:szCs w:val="22"/>
      </w:rPr>
    </w:lvl>
    <w:lvl w:ilvl="1" w:tplc="0809000F">
      <w:start w:val="1"/>
      <w:numFmt w:val="decimal"/>
      <w:lvlText w:val="%2."/>
      <w:lvlJc w:val="left"/>
      <w:pPr>
        <w:tabs>
          <w:tab w:val="num" w:pos="283"/>
        </w:tabs>
        <w:ind w:left="283" w:hanging="283"/>
      </w:pPr>
      <w:rPr>
        <w:rFonts w:hint="default"/>
        <w:b w:val="0"/>
        <w:i w:val="0"/>
        <w:color w:val="auto"/>
        <w:sz w:val="24"/>
        <w:szCs w:val="22"/>
      </w:rPr>
    </w:lvl>
    <w:lvl w:ilvl="2" w:tplc="0809000F">
      <w:start w:val="1"/>
      <w:numFmt w:val="decimal"/>
      <w:lvlText w:val="%3."/>
      <w:lvlJc w:val="left"/>
      <w:pPr>
        <w:tabs>
          <w:tab w:val="num" w:pos="2340"/>
        </w:tabs>
        <w:ind w:left="2093" w:hanging="113"/>
      </w:pPr>
      <w:rPr>
        <w:rFonts w:hint="default"/>
        <w:b w:val="0"/>
        <w:i w:val="0"/>
        <w:color w:val="auto"/>
        <w:sz w:val="22"/>
        <w:szCs w:val="22"/>
      </w:rPr>
    </w:lvl>
    <w:lvl w:ilvl="3" w:tplc="24B4961A">
      <w:start w:val="1"/>
      <w:numFmt w:val="bullet"/>
      <w:lvlText w:val="o"/>
      <w:lvlJc w:val="left"/>
      <w:pPr>
        <w:tabs>
          <w:tab w:val="num" w:pos="2880"/>
        </w:tabs>
        <w:ind w:left="2880" w:hanging="360"/>
      </w:pPr>
      <w:rPr>
        <w:rFonts w:hAnsi="Courier New" w:hint="default"/>
        <w:b w:val="0"/>
        <w:i w:val="0"/>
      </w:rPr>
    </w:lvl>
    <w:lvl w:ilvl="4" w:tplc="CDF00F6E">
      <w:numFmt w:val="bullet"/>
      <w:lvlText w:val="•"/>
      <w:lvlJc w:val="left"/>
      <w:pPr>
        <w:ind w:left="3600" w:hanging="360"/>
      </w:pPr>
      <w:rPr>
        <w:rFonts w:ascii="Tahoma" w:eastAsia="Times New Roman" w:hAnsi="Tahoma" w:cs="Tahoma"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2115CB"/>
    <w:multiLevelType w:val="hybridMultilevel"/>
    <w:tmpl w:val="01B0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303854"/>
    <w:multiLevelType w:val="hybridMultilevel"/>
    <w:tmpl w:val="3912BA96"/>
    <w:lvl w:ilvl="0" w:tplc="08090005">
      <w:start w:val="1"/>
      <w:numFmt w:val="bullet"/>
      <w:lvlText w:val=""/>
      <w:lvlJc w:val="left"/>
      <w:pPr>
        <w:ind w:left="912" w:hanging="552"/>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82786"/>
    <w:multiLevelType w:val="hybridMultilevel"/>
    <w:tmpl w:val="540E31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53C31"/>
    <w:multiLevelType w:val="multilevel"/>
    <w:tmpl w:val="A402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64249A"/>
    <w:multiLevelType w:val="hybridMultilevel"/>
    <w:tmpl w:val="CB6EE2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2"/>
  </w:num>
  <w:num w:numId="5">
    <w:abstractNumId w:val="7"/>
  </w:num>
  <w:num w:numId="6">
    <w:abstractNumId w:val="0"/>
  </w:num>
  <w:num w:numId="7">
    <w:abstractNumId w:val="3"/>
  </w:num>
  <w:num w:numId="8">
    <w:abstractNumId w:val="6"/>
  </w:num>
  <w:num w:numId="9">
    <w:abstractNumId w:val="9"/>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4F"/>
    <w:rsid w:val="00016498"/>
    <w:rsid w:val="00027659"/>
    <w:rsid w:val="000354CB"/>
    <w:rsid w:val="00065CDA"/>
    <w:rsid w:val="00066949"/>
    <w:rsid w:val="000862BE"/>
    <w:rsid w:val="00091EDD"/>
    <w:rsid w:val="0009274D"/>
    <w:rsid w:val="000C3CED"/>
    <w:rsid w:val="000D17DB"/>
    <w:rsid w:val="00112981"/>
    <w:rsid w:val="00133992"/>
    <w:rsid w:val="0013745B"/>
    <w:rsid w:val="00145513"/>
    <w:rsid w:val="001509E6"/>
    <w:rsid w:val="00152EBD"/>
    <w:rsid w:val="0016480E"/>
    <w:rsid w:val="00176086"/>
    <w:rsid w:val="001C1092"/>
    <w:rsid w:val="001C1210"/>
    <w:rsid w:val="001D077F"/>
    <w:rsid w:val="001F0D09"/>
    <w:rsid w:val="002347E8"/>
    <w:rsid w:val="00236579"/>
    <w:rsid w:val="00236E05"/>
    <w:rsid w:val="00241AED"/>
    <w:rsid w:val="00280F0F"/>
    <w:rsid w:val="00310EA6"/>
    <w:rsid w:val="00317438"/>
    <w:rsid w:val="00321D68"/>
    <w:rsid w:val="00371064"/>
    <w:rsid w:val="003B566A"/>
    <w:rsid w:val="003D4F8B"/>
    <w:rsid w:val="00406BBE"/>
    <w:rsid w:val="00493DA3"/>
    <w:rsid w:val="004C569B"/>
    <w:rsid w:val="004F35B5"/>
    <w:rsid w:val="0053539F"/>
    <w:rsid w:val="005841EB"/>
    <w:rsid w:val="005B41E3"/>
    <w:rsid w:val="005C746A"/>
    <w:rsid w:val="005E20B3"/>
    <w:rsid w:val="00633D67"/>
    <w:rsid w:val="00664C15"/>
    <w:rsid w:val="00675092"/>
    <w:rsid w:val="006C09A1"/>
    <w:rsid w:val="006D0527"/>
    <w:rsid w:val="006D67D5"/>
    <w:rsid w:val="00703149"/>
    <w:rsid w:val="007164E8"/>
    <w:rsid w:val="00727B8B"/>
    <w:rsid w:val="00731CDD"/>
    <w:rsid w:val="00790C3D"/>
    <w:rsid w:val="007A5463"/>
    <w:rsid w:val="007B19F1"/>
    <w:rsid w:val="007C697A"/>
    <w:rsid w:val="007D3F4F"/>
    <w:rsid w:val="007E4F26"/>
    <w:rsid w:val="008A14A5"/>
    <w:rsid w:val="008B58F8"/>
    <w:rsid w:val="008C1238"/>
    <w:rsid w:val="008C466D"/>
    <w:rsid w:val="008E54EB"/>
    <w:rsid w:val="008F04BF"/>
    <w:rsid w:val="00911D65"/>
    <w:rsid w:val="00924487"/>
    <w:rsid w:val="009301D0"/>
    <w:rsid w:val="009845DF"/>
    <w:rsid w:val="009C7BDC"/>
    <w:rsid w:val="009D4D5A"/>
    <w:rsid w:val="00A47228"/>
    <w:rsid w:val="00A667D4"/>
    <w:rsid w:val="00AA032D"/>
    <w:rsid w:val="00AF5272"/>
    <w:rsid w:val="00B05AD0"/>
    <w:rsid w:val="00B16121"/>
    <w:rsid w:val="00B44EF9"/>
    <w:rsid w:val="00BB5403"/>
    <w:rsid w:val="00BC786E"/>
    <w:rsid w:val="00BF3B4F"/>
    <w:rsid w:val="00C31DF2"/>
    <w:rsid w:val="00C41B63"/>
    <w:rsid w:val="00C43110"/>
    <w:rsid w:val="00C76702"/>
    <w:rsid w:val="00C76828"/>
    <w:rsid w:val="00C81396"/>
    <w:rsid w:val="00C839B2"/>
    <w:rsid w:val="00C84B30"/>
    <w:rsid w:val="00C961C3"/>
    <w:rsid w:val="00CF28F5"/>
    <w:rsid w:val="00D01437"/>
    <w:rsid w:val="00D357C3"/>
    <w:rsid w:val="00DA15D6"/>
    <w:rsid w:val="00DA3E93"/>
    <w:rsid w:val="00DC7D57"/>
    <w:rsid w:val="00DD1340"/>
    <w:rsid w:val="00E01695"/>
    <w:rsid w:val="00E3492F"/>
    <w:rsid w:val="00E46FBB"/>
    <w:rsid w:val="00E5057F"/>
    <w:rsid w:val="00E5441E"/>
    <w:rsid w:val="00E656B7"/>
    <w:rsid w:val="00E95FBF"/>
    <w:rsid w:val="00EE5AF8"/>
    <w:rsid w:val="00F12C1B"/>
    <w:rsid w:val="00F22FC3"/>
    <w:rsid w:val="00F3506A"/>
    <w:rsid w:val="00F40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B5A58D0-349C-42C6-ADCF-A990EBFA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9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F4F"/>
    <w:pPr>
      <w:spacing w:after="0" w:line="240" w:lineRule="auto"/>
    </w:pPr>
  </w:style>
  <w:style w:type="character" w:styleId="Hyperlink">
    <w:name w:val="Hyperlink"/>
    <w:uiPriority w:val="99"/>
    <w:rsid w:val="00066949"/>
    <w:rPr>
      <w:color w:val="0000FF"/>
      <w:u w:val="single"/>
    </w:rPr>
  </w:style>
  <w:style w:type="paragraph" w:customStyle="1" w:styleId="Default">
    <w:name w:val="Default"/>
    <w:link w:val="DefaultChar"/>
    <w:rsid w:val="0006694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link w:val="Default"/>
    <w:rsid w:val="00066949"/>
    <w:rPr>
      <w:rFonts w:ascii="Arial" w:eastAsia="Times New Roman" w:hAnsi="Arial" w:cs="Arial"/>
      <w:color w:val="000000"/>
      <w:sz w:val="24"/>
      <w:szCs w:val="24"/>
      <w:lang w:eastAsia="en-GB"/>
    </w:rPr>
  </w:style>
  <w:style w:type="paragraph" w:styleId="NormalWeb">
    <w:name w:val="Normal (Web)"/>
    <w:basedOn w:val="Normal"/>
    <w:uiPriority w:val="99"/>
    <w:rsid w:val="00066949"/>
    <w:pPr>
      <w:spacing w:before="100" w:beforeAutospacing="1" w:after="100" w:afterAutospacing="1"/>
    </w:pPr>
    <w:rPr>
      <w:lang w:eastAsia="en-GB"/>
    </w:r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066949"/>
    <w:pPr>
      <w:ind w:left="720"/>
    </w:pPr>
    <w:rPr>
      <w:rFonts w:ascii="Calibri" w:eastAsia="Calibri" w:hAnsi="Calibri"/>
      <w:sz w:val="22"/>
      <w:szCs w:val="22"/>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qFormat/>
    <w:locked/>
    <w:rsid w:val="00066949"/>
    <w:rPr>
      <w:rFonts w:ascii="Calibri" w:eastAsia="Calibri" w:hAnsi="Calibri" w:cs="Times New Roman"/>
    </w:rPr>
  </w:style>
  <w:style w:type="paragraph" w:customStyle="1" w:styleId="AttachmentSubHeading">
    <w:name w:val="Attachment Sub Heading"/>
    <w:basedOn w:val="Normal"/>
    <w:rsid w:val="00066949"/>
    <w:pPr>
      <w:spacing w:after="480"/>
      <w:jc w:val="center"/>
    </w:pPr>
    <w:rPr>
      <w:rFonts w:ascii="Tahoma" w:hAnsi="Tahoma"/>
      <w:b/>
      <w:sz w:val="22"/>
      <w:szCs w:val="20"/>
    </w:rPr>
  </w:style>
  <w:style w:type="paragraph" w:styleId="Header">
    <w:name w:val="header"/>
    <w:basedOn w:val="Normal"/>
    <w:link w:val="HeaderChar"/>
    <w:uiPriority w:val="99"/>
    <w:unhideWhenUsed/>
    <w:rsid w:val="00176086"/>
    <w:pPr>
      <w:tabs>
        <w:tab w:val="center" w:pos="4513"/>
        <w:tab w:val="right" w:pos="9026"/>
      </w:tabs>
    </w:pPr>
  </w:style>
  <w:style w:type="character" w:customStyle="1" w:styleId="HeaderChar">
    <w:name w:val="Header Char"/>
    <w:basedOn w:val="DefaultParagraphFont"/>
    <w:link w:val="Header"/>
    <w:uiPriority w:val="99"/>
    <w:rsid w:val="001760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6086"/>
    <w:pPr>
      <w:tabs>
        <w:tab w:val="center" w:pos="4513"/>
        <w:tab w:val="right" w:pos="9026"/>
      </w:tabs>
    </w:pPr>
  </w:style>
  <w:style w:type="character" w:customStyle="1" w:styleId="FooterChar">
    <w:name w:val="Footer Char"/>
    <w:basedOn w:val="DefaultParagraphFont"/>
    <w:link w:val="Footer"/>
    <w:uiPriority w:val="99"/>
    <w:rsid w:val="0017608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086"/>
    <w:rPr>
      <w:rFonts w:ascii="Tahoma" w:hAnsi="Tahoma" w:cs="Tahoma"/>
      <w:sz w:val="16"/>
      <w:szCs w:val="16"/>
    </w:rPr>
  </w:style>
  <w:style w:type="character" w:customStyle="1" w:styleId="BalloonTextChar">
    <w:name w:val="Balloon Text Char"/>
    <w:basedOn w:val="DefaultParagraphFont"/>
    <w:link w:val="BalloonText"/>
    <w:uiPriority w:val="99"/>
    <w:semiHidden/>
    <w:rsid w:val="0017608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176086"/>
    <w:rPr>
      <w:sz w:val="20"/>
      <w:szCs w:val="20"/>
    </w:rPr>
  </w:style>
  <w:style w:type="character" w:customStyle="1" w:styleId="FootnoteTextChar">
    <w:name w:val="Footnote Text Char"/>
    <w:basedOn w:val="DefaultParagraphFont"/>
    <w:link w:val="FootnoteText"/>
    <w:uiPriority w:val="99"/>
    <w:semiHidden/>
    <w:rsid w:val="001760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76086"/>
    <w:rPr>
      <w:vertAlign w:val="superscript"/>
    </w:rPr>
  </w:style>
  <w:style w:type="table" w:styleId="TableGrid">
    <w:name w:val="Table Grid"/>
    <w:basedOn w:val="TableNormal"/>
    <w:uiPriority w:val="59"/>
    <w:rsid w:val="0098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D077F"/>
    <w:rPr>
      <w:b/>
      <w:bCs/>
    </w:rPr>
  </w:style>
  <w:style w:type="character" w:styleId="FollowedHyperlink">
    <w:name w:val="FollowedHyperlink"/>
    <w:basedOn w:val="DefaultParagraphFont"/>
    <w:uiPriority w:val="99"/>
    <w:semiHidden/>
    <w:unhideWhenUsed/>
    <w:rsid w:val="000164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9688">
      <w:bodyDiv w:val="1"/>
      <w:marLeft w:val="0"/>
      <w:marRight w:val="0"/>
      <w:marTop w:val="0"/>
      <w:marBottom w:val="0"/>
      <w:divBdr>
        <w:top w:val="none" w:sz="0" w:space="0" w:color="auto"/>
        <w:left w:val="none" w:sz="0" w:space="0" w:color="auto"/>
        <w:bottom w:val="none" w:sz="0" w:space="0" w:color="auto"/>
        <w:right w:val="none" w:sz="0" w:space="0" w:color="auto"/>
      </w:divBdr>
    </w:div>
    <w:div w:id="147209409">
      <w:bodyDiv w:val="1"/>
      <w:marLeft w:val="0"/>
      <w:marRight w:val="0"/>
      <w:marTop w:val="0"/>
      <w:marBottom w:val="0"/>
      <w:divBdr>
        <w:top w:val="none" w:sz="0" w:space="0" w:color="auto"/>
        <w:left w:val="none" w:sz="0" w:space="0" w:color="auto"/>
        <w:bottom w:val="none" w:sz="0" w:space="0" w:color="auto"/>
        <w:right w:val="none" w:sz="0" w:space="0" w:color="auto"/>
      </w:divBdr>
    </w:div>
    <w:div w:id="151260790">
      <w:bodyDiv w:val="1"/>
      <w:marLeft w:val="0"/>
      <w:marRight w:val="0"/>
      <w:marTop w:val="0"/>
      <w:marBottom w:val="0"/>
      <w:divBdr>
        <w:top w:val="none" w:sz="0" w:space="0" w:color="auto"/>
        <w:left w:val="none" w:sz="0" w:space="0" w:color="auto"/>
        <w:bottom w:val="none" w:sz="0" w:space="0" w:color="auto"/>
        <w:right w:val="none" w:sz="0" w:space="0" w:color="auto"/>
      </w:divBdr>
    </w:div>
    <w:div w:id="295070779">
      <w:bodyDiv w:val="1"/>
      <w:marLeft w:val="0"/>
      <w:marRight w:val="0"/>
      <w:marTop w:val="0"/>
      <w:marBottom w:val="0"/>
      <w:divBdr>
        <w:top w:val="none" w:sz="0" w:space="0" w:color="auto"/>
        <w:left w:val="none" w:sz="0" w:space="0" w:color="auto"/>
        <w:bottom w:val="none" w:sz="0" w:space="0" w:color="auto"/>
        <w:right w:val="none" w:sz="0" w:space="0" w:color="auto"/>
      </w:divBdr>
    </w:div>
    <w:div w:id="365258961">
      <w:bodyDiv w:val="1"/>
      <w:marLeft w:val="0"/>
      <w:marRight w:val="0"/>
      <w:marTop w:val="0"/>
      <w:marBottom w:val="0"/>
      <w:divBdr>
        <w:top w:val="none" w:sz="0" w:space="0" w:color="auto"/>
        <w:left w:val="none" w:sz="0" w:space="0" w:color="auto"/>
        <w:bottom w:val="none" w:sz="0" w:space="0" w:color="auto"/>
        <w:right w:val="none" w:sz="0" w:space="0" w:color="auto"/>
      </w:divBdr>
    </w:div>
    <w:div w:id="545797459">
      <w:bodyDiv w:val="1"/>
      <w:marLeft w:val="0"/>
      <w:marRight w:val="0"/>
      <w:marTop w:val="0"/>
      <w:marBottom w:val="0"/>
      <w:divBdr>
        <w:top w:val="none" w:sz="0" w:space="0" w:color="auto"/>
        <w:left w:val="none" w:sz="0" w:space="0" w:color="auto"/>
        <w:bottom w:val="none" w:sz="0" w:space="0" w:color="auto"/>
        <w:right w:val="none" w:sz="0" w:space="0" w:color="auto"/>
      </w:divBdr>
    </w:div>
    <w:div w:id="575483293">
      <w:bodyDiv w:val="1"/>
      <w:marLeft w:val="0"/>
      <w:marRight w:val="0"/>
      <w:marTop w:val="0"/>
      <w:marBottom w:val="0"/>
      <w:divBdr>
        <w:top w:val="none" w:sz="0" w:space="0" w:color="auto"/>
        <w:left w:val="none" w:sz="0" w:space="0" w:color="auto"/>
        <w:bottom w:val="none" w:sz="0" w:space="0" w:color="auto"/>
        <w:right w:val="none" w:sz="0" w:space="0" w:color="auto"/>
      </w:divBdr>
    </w:div>
    <w:div w:id="642806738">
      <w:bodyDiv w:val="1"/>
      <w:marLeft w:val="0"/>
      <w:marRight w:val="0"/>
      <w:marTop w:val="0"/>
      <w:marBottom w:val="0"/>
      <w:divBdr>
        <w:top w:val="none" w:sz="0" w:space="0" w:color="auto"/>
        <w:left w:val="none" w:sz="0" w:space="0" w:color="auto"/>
        <w:bottom w:val="none" w:sz="0" w:space="0" w:color="auto"/>
        <w:right w:val="none" w:sz="0" w:space="0" w:color="auto"/>
      </w:divBdr>
    </w:div>
    <w:div w:id="939029497">
      <w:bodyDiv w:val="1"/>
      <w:marLeft w:val="0"/>
      <w:marRight w:val="0"/>
      <w:marTop w:val="0"/>
      <w:marBottom w:val="0"/>
      <w:divBdr>
        <w:top w:val="none" w:sz="0" w:space="0" w:color="auto"/>
        <w:left w:val="none" w:sz="0" w:space="0" w:color="auto"/>
        <w:bottom w:val="none" w:sz="0" w:space="0" w:color="auto"/>
        <w:right w:val="none" w:sz="0" w:space="0" w:color="auto"/>
      </w:divBdr>
    </w:div>
    <w:div w:id="1027440636">
      <w:bodyDiv w:val="1"/>
      <w:marLeft w:val="0"/>
      <w:marRight w:val="0"/>
      <w:marTop w:val="0"/>
      <w:marBottom w:val="0"/>
      <w:divBdr>
        <w:top w:val="none" w:sz="0" w:space="0" w:color="auto"/>
        <w:left w:val="none" w:sz="0" w:space="0" w:color="auto"/>
        <w:bottom w:val="none" w:sz="0" w:space="0" w:color="auto"/>
        <w:right w:val="none" w:sz="0" w:space="0" w:color="auto"/>
      </w:divBdr>
    </w:div>
    <w:div w:id="1059548167">
      <w:bodyDiv w:val="1"/>
      <w:marLeft w:val="0"/>
      <w:marRight w:val="0"/>
      <w:marTop w:val="0"/>
      <w:marBottom w:val="0"/>
      <w:divBdr>
        <w:top w:val="none" w:sz="0" w:space="0" w:color="auto"/>
        <w:left w:val="none" w:sz="0" w:space="0" w:color="auto"/>
        <w:bottom w:val="none" w:sz="0" w:space="0" w:color="auto"/>
        <w:right w:val="none" w:sz="0" w:space="0" w:color="auto"/>
      </w:divBdr>
    </w:div>
    <w:div w:id="1293974227">
      <w:bodyDiv w:val="1"/>
      <w:marLeft w:val="0"/>
      <w:marRight w:val="0"/>
      <w:marTop w:val="0"/>
      <w:marBottom w:val="0"/>
      <w:divBdr>
        <w:top w:val="none" w:sz="0" w:space="0" w:color="auto"/>
        <w:left w:val="none" w:sz="0" w:space="0" w:color="auto"/>
        <w:bottom w:val="none" w:sz="0" w:space="0" w:color="auto"/>
        <w:right w:val="none" w:sz="0" w:space="0" w:color="auto"/>
      </w:divBdr>
    </w:div>
    <w:div w:id="1354765252">
      <w:bodyDiv w:val="1"/>
      <w:marLeft w:val="0"/>
      <w:marRight w:val="0"/>
      <w:marTop w:val="0"/>
      <w:marBottom w:val="0"/>
      <w:divBdr>
        <w:top w:val="none" w:sz="0" w:space="0" w:color="auto"/>
        <w:left w:val="none" w:sz="0" w:space="0" w:color="auto"/>
        <w:bottom w:val="none" w:sz="0" w:space="0" w:color="auto"/>
        <w:right w:val="none" w:sz="0" w:space="0" w:color="auto"/>
      </w:divBdr>
    </w:div>
    <w:div w:id="1723361269">
      <w:bodyDiv w:val="1"/>
      <w:marLeft w:val="0"/>
      <w:marRight w:val="0"/>
      <w:marTop w:val="0"/>
      <w:marBottom w:val="0"/>
      <w:divBdr>
        <w:top w:val="none" w:sz="0" w:space="0" w:color="auto"/>
        <w:left w:val="none" w:sz="0" w:space="0" w:color="auto"/>
        <w:bottom w:val="none" w:sz="0" w:space="0" w:color="auto"/>
        <w:right w:val="none" w:sz="0" w:space="0" w:color="auto"/>
      </w:divBdr>
    </w:div>
    <w:div w:id="183992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peeches/provisional-local-government-finance-settlement-2018-to-2019-statement" TargetMode="External"/><Relationship Id="rId13" Type="http://schemas.openxmlformats.org/officeDocument/2006/relationships/hyperlink" Target="https://www.gov.uk/government/publications/draft-council-tax-reports-2018-to-2019" TargetMode="External"/><Relationship Id="rId18" Type="http://schemas.openxmlformats.org/officeDocument/2006/relationships/hyperlink" Target="https://www.gov.uk/government/uploads/system/uploads/attachment_data/file/645012/2018-19_Local_Government_Finance_Settlement_-_technical_consultation.pdf" TargetMode="External"/><Relationship Id="rId26" Type="http://schemas.openxmlformats.org/officeDocument/2006/relationships/hyperlink" Target="https://www.gov.uk/government/publications/flexible-homelessness-support-grant-2017-18-to-2018-19" TargetMode="External"/><Relationship Id="rId3" Type="http://schemas.openxmlformats.org/officeDocument/2006/relationships/styles" Target="styles.xml"/><Relationship Id="rId21" Type="http://schemas.openxmlformats.org/officeDocument/2006/relationships/hyperlink" Target="http://www.parliament.uk/business/publications/written-questions-answers-statements/written-statement/Commons/2017-12-19/HCWS369/" TargetMode="External"/><Relationship Id="rId7" Type="http://schemas.openxmlformats.org/officeDocument/2006/relationships/endnotes" Target="endnotes.xml"/><Relationship Id="rId12" Type="http://schemas.openxmlformats.org/officeDocument/2006/relationships/hyperlink" Target="https://www.gov.uk/government/consultations/provisional-local-government-finance-settlement-2018-to-2019-consultation" TargetMode="External"/><Relationship Id="rId17" Type="http://schemas.openxmlformats.org/officeDocument/2006/relationships/hyperlink" Target="https://www.gov.uk/government/consultations/new-homes-bonus-sharpening-the-incentive-technical-consultation" TargetMode="External"/><Relationship Id="rId25" Type="http://schemas.openxmlformats.org/officeDocument/2006/relationships/hyperlink" Target="https://www.gov.uk/government/consultations/former-independent-living-fund-recipient-grant" TargetMode="Externa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hyperlink" Target="https://www.gov.uk/government/publications/new-homes-bonus-calculator-2018-to-2019" TargetMode="External"/><Relationship Id="rId29" Type="http://schemas.openxmlformats.org/officeDocument/2006/relationships/hyperlink" Target="https://www.gov.uk/government/publications/lead-local-authority-flood-grant-2017-18-to-201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raft-local-government-finance-report-2018-to-2019" TargetMode="External"/><Relationship Id="rId24" Type="http://schemas.openxmlformats.org/officeDocument/2006/relationships/hyperlink" Target="http://www.parliament.uk/business/publications/written-questions-answers-statements/written-statement/Commons/2017-07-03/HCWS2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www.gov.uk/government/publications/spring-budget-2017-documents" TargetMode="External"/><Relationship Id="rId28" Type="http://schemas.openxmlformats.org/officeDocument/2006/relationships/hyperlink" Target="https://www.gov.uk/government/publications/highways-maintenance-funding-allocations-201516-to-202021" TargetMode="External"/><Relationship Id="rId10" Type="http://schemas.openxmlformats.org/officeDocument/2006/relationships/hyperlink" Target="https://www.gov.uk/government/news/government-sets-out-further-measures-to-support-councils-to-deliver-services" TargetMode="External"/><Relationship Id="rId19" Type="http://schemas.openxmlformats.org/officeDocument/2006/relationships/hyperlink" Target="https://www.gov.uk/government/publications/new-homes-bonus-provisional-allocations-2018-to-20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collections/provisional-local-government-finance-settlement-england-2018-to-2019" TargetMode="External"/><Relationship Id="rId14" Type="http://schemas.openxmlformats.org/officeDocument/2006/relationships/hyperlink" Target="https://www.gov.uk/government/consultations/local-government-finance-settlement-2018-to-2019-technical-consultation" TargetMode="External"/><Relationship Id="rId22" Type="http://schemas.openxmlformats.org/officeDocument/2006/relationships/hyperlink" Target="https://www.gov.uk/government/publications/dedicated-schools-grant-dsg-2018-to-2019" TargetMode="External"/><Relationship Id="rId27" Type="http://schemas.openxmlformats.org/officeDocument/2006/relationships/hyperlink" Target="https://www.gov.uk/government/publications/homelessness-reduction-act-new-burdens-fundin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4D28E-AAF0-437B-9C13-F1A7958B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2380F8B8</Template>
  <TotalTime>0</TotalTime>
  <Pages>12</Pages>
  <Words>4753</Words>
  <Characters>27096</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31786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Ian Burbidge</cp:lastModifiedBy>
  <cp:revision>2</cp:revision>
  <cp:lastPrinted>2017-12-19T19:04:00Z</cp:lastPrinted>
  <dcterms:created xsi:type="dcterms:W3CDTF">2017-12-20T13:24:00Z</dcterms:created>
  <dcterms:modified xsi:type="dcterms:W3CDTF">2017-12-20T13:24:00Z</dcterms:modified>
</cp:coreProperties>
</file>